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3AD239">
      <w:pPr>
        <w:spacing w:before="312" w:beforeLines="100"/>
        <w:jc w:val="center"/>
        <w:rPr>
          <w:rFonts w:hint="eastAsia" w:ascii="黑体" w:hAnsi="黑体" w:eastAsia="黑体" w:cs="黑体"/>
          <w:b/>
          <w:sz w:val="36"/>
          <w:szCs w:val="36"/>
        </w:rPr>
      </w:pPr>
      <w:bookmarkStart w:id="0" w:name="_Toc20175"/>
      <w:bookmarkStart w:id="1" w:name="_Toc5842"/>
      <w:bookmarkStart w:id="2" w:name="_Toc7602"/>
      <w:r>
        <w:rPr>
          <w:rFonts w:hint="eastAsia" w:ascii="黑体" w:hAnsi="黑体" w:eastAsia="黑体" w:cs="黑体"/>
          <w:b/>
          <w:sz w:val="36"/>
          <w:szCs w:val="36"/>
        </w:rPr>
        <w:t>成都市新津区妇幼保健院</w:t>
      </w:r>
    </w:p>
    <w:p w14:paraId="1C890B7F">
      <w:pPr>
        <w:spacing w:before="312" w:beforeLines="100"/>
        <w:jc w:val="center"/>
        <w:rPr>
          <w:rFonts w:hint="eastAsia" w:ascii="黑体" w:hAnsi="黑体" w:eastAsia="黑体" w:cs="黑体"/>
          <w:b/>
          <w:sz w:val="36"/>
          <w:szCs w:val="36"/>
        </w:rPr>
      </w:pPr>
      <w:r>
        <w:rPr>
          <w:rFonts w:hint="eastAsia" w:ascii="黑体" w:hAnsi="黑体" w:eastAsia="黑体" w:cs="黑体"/>
          <w:b/>
          <w:sz w:val="36"/>
          <w:szCs w:val="36"/>
        </w:rPr>
        <w:t>安</w:t>
      </w:r>
      <w:bookmarkStart w:id="3" w:name="_GoBack"/>
      <w:bookmarkEnd w:id="3"/>
      <w:r>
        <w:rPr>
          <w:rFonts w:hint="eastAsia" w:ascii="黑体" w:hAnsi="黑体" w:eastAsia="黑体" w:cs="黑体"/>
          <w:b/>
          <w:sz w:val="36"/>
          <w:szCs w:val="36"/>
        </w:rPr>
        <w:t>全运维服务项目采购需求</w:t>
      </w:r>
    </w:p>
    <w:p w14:paraId="680B53F5">
      <w:pPr>
        <w:pStyle w:val="2"/>
        <w:numPr>
          <w:ilvl w:val="0"/>
          <w:numId w:val="1"/>
        </w:numPr>
        <w:tabs>
          <w:tab w:val="left" w:pos="0"/>
        </w:tabs>
        <w:spacing w:before="62" w:beforeLines="20" w:after="156" w:afterLines="50" w:line="440" w:lineRule="exact"/>
        <w:ind w:firstLine="562" w:firstLineChars="200"/>
        <w:jc w:val="both"/>
        <w:rPr>
          <w:rFonts w:hint="eastAsia" w:ascii="宋体" w:hAnsi="宋体" w:cs="宋体"/>
          <w:kern w:val="2"/>
          <w:sz w:val="28"/>
          <w:szCs w:val="28"/>
        </w:rPr>
      </w:pPr>
      <w:r>
        <w:rPr>
          <w:rFonts w:hint="eastAsia" w:ascii="宋体" w:hAnsi="宋体" w:cs="宋体"/>
          <w:kern w:val="2"/>
          <w:sz w:val="28"/>
          <w:szCs w:val="28"/>
        </w:rPr>
        <w:t>项目</w:t>
      </w:r>
      <w:bookmarkEnd w:id="0"/>
      <w:bookmarkEnd w:id="1"/>
      <w:bookmarkEnd w:id="2"/>
      <w:r>
        <w:rPr>
          <w:rFonts w:hint="eastAsia" w:ascii="宋体" w:hAnsi="宋体" w:cs="宋体"/>
          <w:kern w:val="2"/>
          <w:sz w:val="28"/>
          <w:szCs w:val="28"/>
        </w:rPr>
        <w:t>背景</w:t>
      </w:r>
    </w:p>
    <w:p w14:paraId="741C00CE">
      <w:pPr>
        <w:widowControl/>
        <w:spacing w:before="100" w:after="100" w:line="480" w:lineRule="auto"/>
        <w:ind w:firstLine="560"/>
        <w:jc w:val="left"/>
        <w:rPr>
          <w:rFonts w:hint="eastAsia" w:hAnsi="宋体" w:cs="方正仿宋简体"/>
          <w:kern w:val="2"/>
          <w:sz w:val="28"/>
          <w:szCs w:val="28"/>
        </w:rPr>
      </w:pPr>
      <w:r>
        <w:rPr>
          <w:rFonts w:hint="eastAsia" w:hAnsi="宋体" w:cs="方正仿宋简体"/>
          <w:kern w:val="2"/>
          <w:sz w:val="28"/>
          <w:szCs w:val="28"/>
        </w:rPr>
        <w:t>随着智慧医疗高速发展，医疗机构数字化、网络化、智能化建设持续落地，医院互联网与专网业务体系不断扩容，网络交互场景愈发多元复杂。当下网络安全态势日趋严峻，新型漏洞利用、恶意网络攻击、勒索病毒威胁常态化频发，传统固化的安全防护模式难以适配动态演变的网络风险。同时，《网络安全法》《数据安全法》及</w:t>
      </w:r>
      <w:r>
        <w:rPr>
          <w:rFonts w:hint="eastAsia" w:hAnsi="宋体" w:cs="方正仿宋简体"/>
          <w:kern w:val="2"/>
          <w:sz w:val="28"/>
          <w:szCs w:val="28"/>
          <w:highlight w:val="none"/>
        </w:rPr>
        <w:t>近年陆续</w:t>
      </w:r>
      <w:r>
        <w:rPr>
          <w:rFonts w:hint="eastAsia" w:hAnsi="宋体" w:cs="方正仿宋简体"/>
          <w:kern w:val="2"/>
          <w:sz w:val="28"/>
          <w:szCs w:val="28"/>
        </w:rPr>
        <w:t>正式实施的多项网络安全、数据安全新标准落地施行，行业监管督查愈发严格合规，对医疗机构网络安全建设、风险管控、数据保护提出刚性合规要求，医疗行业面临的安全风险与合规压力持续攀升。</w:t>
      </w:r>
    </w:p>
    <w:p w14:paraId="07639918">
      <w:pPr>
        <w:widowControl/>
        <w:spacing w:before="100" w:after="100" w:line="480" w:lineRule="auto"/>
        <w:ind w:firstLine="560"/>
        <w:jc w:val="left"/>
        <w:rPr>
          <w:rFonts w:hint="eastAsia" w:hAnsi="宋体" w:cs="方正仿宋简体"/>
          <w:kern w:val="2"/>
          <w:sz w:val="28"/>
          <w:szCs w:val="28"/>
        </w:rPr>
      </w:pPr>
      <w:r>
        <w:rPr>
          <w:rFonts w:hint="eastAsia" w:hAnsi="宋体" w:cs="方正仿宋简体"/>
          <w:kern w:val="2"/>
          <w:sz w:val="28"/>
          <w:szCs w:val="28"/>
        </w:rPr>
        <w:t>为全面补齐医院安全能力短板、落实行业合规要求，保障医院业务系统与网络环境安全、稳定、持续运行，需要对医院开展专业化网络安全运维服务，涵盖互联网/专网暴露面梳理、深度风险分析和检测、安全巡检优化、网络安全培训等工作，系统性筑牢医院网络安全与数据安全防线，保障医疗业务持续稳定合规运行。</w:t>
      </w:r>
    </w:p>
    <w:p w14:paraId="089A14DE">
      <w:pPr>
        <w:pStyle w:val="2"/>
        <w:numPr>
          <w:ilvl w:val="0"/>
          <w:numId w:val="1"/>
        </w:numPr>
        <w:tabs>
          <w:tab w:val="left" w:pos="0"/>
        </w:tabs>
        <w:spacing w:before="62" w:beforeLines="20" w:after="156" w:afterLines="50" w:line="440" w:lineRule="exact"/>
        <w:ind w:firstLine="562" w:firstLineChars="200"/>
        <w:jc w:val="both"/>
        <w:rPr>
          <w:rFonts w:hint="eastAsia" w:ascii="宋体" w:hAnsi="宋体" w:cs="宋体"/>
          <w:kern w:val="2"/>
          <w:sz w:val="28"/>
          <w:szCs w:val="28"/>
        </w:rPr>
      </w:pPr>
      <w:r>
        <w:rPr>
          <w:rFonts w:hint="eastAsia" w:ascii="宋体" w:hAnsi="宋体" w:cs="宋体"/>
          <w:kern w:val="2"/>
          <w:sz w:val="28"/>
          <w:szCs w:val="28"/>
        </w:rPr>
        <w:t>服务范围</w:t>
      </w:r>
    </w:p>
    <w:p w14:paraId="49B51FF2">
      <w:pPr>
        <w:spacing w:before="100" w:after="100" w:line="480" w:lineRule="auto"/>
        <w:ind w:firstLine="561"/>
        <w:jc w:val="left"/>
        <w:rPr>
          <w:rFonts w:hint="eastAsia" w:hAnsi="宋体" w:cs="方正仿宋简体"/>
          <w:kern w:val="2"/>
          <w:sz w:val="28"/>
          <w:szCs w:val="28"/>
        </w:rPr>
      </w:pPr>
      <w:r>
        <w:rPr>
          <w:rFonts w:hint="eastAsia" w:hAnsi="宋体" w:cs="方正仿宋简体"/>
          <w:kern w:val="2"/>
          <w:sz w:val="28"/>
          <w:szCs w:val="28"/>
        </w:rPr>
        <w:t>服务范围涵盖医院HIS、LIS、PACS、微信公众号、电子病历等医院信息系统及支撑前述信息系统的服务器系统、网络设备、安全设备等。</w:t>
      </w:r>
    </w:p>
    <w:p w14:paraId="589E59D1">
      <w:pPr>
        <w:pStyle w:val="2"/>
        <w:numPr>
          <w:ilvl w:val="0"/>
          <w:numId w:val="1"/>
        </w:numPr>
        <w:tabs>
          <w:tab w:val="left" w:pos="0"/>
        </w:tabs>
        <w:spacing w:before="62" w:beforeLines="20" w:after="156" w:afterLines="50" w:line="440" w:lineRule="exact"/>
        <w:ind w:firstLine="562" w:firstLineChars="200"/>
        <w:jc w:val="both"/>
        <w:rPr>
          <w:rFonts w:hint="eastAsia" w:ascii="宋体" w:hAnsi="宋体" w:cs="宋体"/>
          <w:kern w:val="2"/>
          <w:sz w:val="28"/>
          <w:szCs w:val="28"/>
        </w:rPr>
      </w:pPr>
      <w:r>
        <w:rPr>
          <w:rFonts w:hint="eastAsia" w:ascii="宋体" w:hAnsi="宋体" w:cs="宋体"/>
          <w:kern w:val="2"/>
          <w:sz w:val="28"/>
          <w:szCs w:val="28"/>
        </w:rPr>
        <w:t>需求清单</w:t>
      </w:r>
    </w:p>
    <w:tbl>
      <w:tblPr>
        <w:tblStyle w:val="5"/>
        <w:tblW w:w="0" w:type="auto"/>
        <w:jc w:val="center"/>
        <w:tblLayout w:type="autofit"/>
        <w:tblCellMar>
          <w:top w:w="15" w:type="dxa"/>
          <w:left w:w="15" w:type="dxa"/>
          <w:bottom w:w="15" w:type="dxa"/>
          <w:right w:w="15" w:type="dxa"/>
        </w:tblCellMar>
      </w:tblPr>
      <w:tblGrid>
        <w:gridCol w:w="780"/>
        <w:gridCol w:w="2693"/>
        <w:gridCol w:w="1559"/>
        <w:gridCol w:w="1134"/>
        <w:gridCol w:w="1998"/>
      </w:tblGrid>
      <w:tr w14:paraId="41412455">
        <w:tblPrEx>
          <w:tblCellMar>
            <w:top w:w="15" w:type="dxa"/>
            <w:left w:w="15" w:type="dxa"/>
            <w:bottom w:w="15" w:type="dxa"/>
            <w:right w:w="15" w:type="dxa"/>
          </w:tblCellMar>
        </w:tblPrEx>
        <w:trPr>
          <w:jc w:val="center"/>
        </w:trPr>
        <w:tc>
          <w:tcPr>
            <w:tcW w:w="780" w:type="dxa"/>
            <w:tcBorders>
              <w:top w:val="single" w:color="auto" w:sz="8" w:space="0"/>
              <w:left w:val="single" w:color="auto" w:sz="8" w:space="0"/>
              <w:bottom w:val="single" w:color="auto" w:sz="8" w:space="0"/>
              <w:right w:val="single" w:color="auto" w:sz="8" w:space="0"/>
            </w:tcBorders>
            <w:shd w:val="clear" w:color="auto" w:fill="auto"/>
            <w:vAlign w:val="center"/>
          </w:tcPr>
          <w:p w14:paraId="4E13D40F">
            <w:pPr>
              <w:widowControl/>
              <w:spacing w:before="100" w:after="100" w:line="480" w:lineRule="auto"/>
              <w:jc w:val="center"/>
              <w:rPr>
                <w:rFonts w:hint="eastAsia" w:asciiTheme="minorEastAsia" w:hAnsiTheme="minorEastAsia" w:eastAsiaTheme="minorEastAsia" w:cstheme="minorEastAsia"/>
                <w:b/>
                <w:bCs/>
                <w:kern w:val="2"/>
                <w:sz w:val="24"/>
                <w:szCs w:val="24"/>
              </w:rPr>
            </w:pPr>
            <w:r>
              <w:rPr>
                <w:rFonts w:hint="eastAsia" w:asciiTheme="minorEastAsia" w:hAnsiTheme="minorEastAsia" w:eastAsiaTheme="minorEastAsia" w:cstheme="minorEastAsia"/>
                <w:b/>
                <w:bCs/>
                <w:kern w:val="2"/>
                <w:sz w:val="24"/>
                <w:szCs w:val="24"/>
              </w:rPr>
              <w:t>序号</w:t>
            </w:r>
          </w:p>
        </w:tc>
        <w:tc>
          <w:tcPr>
            <w:tcW w:w="2693" w:type="dxa"/>
            <w:tcBorders>
              <w:top w:val="single" w:color="auto" w:sz="8" w:space="0"/>
              <w:left w:val="single" w:color="auto" w:sz="8" w:space="0"/>
              <w:bottom w:val="single" w:color="auto" w:sz="8" w:space="0"/>
              <w:right w:val="single" w:color="auto" w:sz="8" w:space="0"/>
            </w:tcBorders>
            <w:shd w:val="clear" w:color="auto" w:fill="auto"/>
            <w:vAlign w:val="center"/>
          </w:tcPr>
          <w:p w14:paraId="25B59769">
            <w:pPr>
              <w:widowControl/>
              <w:spacing w:before="100" w:after="100" w:line="480" w:lineRule="auto"/>
              <w:jc w:val="center"/>
              <w:rPr>
                <w:rFonts w:hint="eastAsia" w:asciiTheme="minorEastAsia" w:hAnsiTheme="minorEastAsia" w:eastAsiaTheme="minorEastAsia" w:cstheme="minorEastAsia"/>
                <w:b/>
                <w:bCs/>
                <w:kern w:val="2"/>
                <w:sz w:val="24"/>
                <w:szCs w:val="24"/>
              </w:rPr>
            </w:pPr>
            <w:r>
              <w:rPr>
                <w:rFonts w:hint="eastAsia" w:asciiTheme="minorEastAsia" w:hAnsiTheme="minorEastAsia" w:eastAsiaTheme="minorEastAsia" w:cstheme="minorEastAsia"/>
                <w:b/>
                <w:bCs/>
                <w:kern w:val="2"/>
                <w:sz w:val="24"/>
                <w:szCs w:val="24"/>
              </w:rPr>
              <w:t>服务名称</w:t>
            </w:r>
          </w:p>
        </w:tc>
        <w:tc>
          <w:tcPr>
            <w:tcW w:w="1559" w:type="dxa"/>
            <w:tcBorders>
              <w:top w:val="single" w:color="auto" w:sz="8" w:space="0"/>
              <w:left w:val="single" w:color="auto" w:sz="8" w:space="0"/>
              <w:bottom w:val="single" w:color="auto" w:sz="8" w:space="0"/>
              <w:right w:val="single" w:color="auto" w:sz="8" w:space="0"/>
            </w:tcBorders>
            <w:shd w:val="clear" w:color="auto" w:fill="auto"/>
            <w:vAlign w:val="center"/>
          </w:tcPr>
          <w:p w14:paraId="1724BD80">
            <w:pPr>
              <w:widowControl/>
              <w:spacing w:before="100" w:after="100" w:line="480" w:lineRule="auto"/>
              <w:jc w:val="center"/>
              <w:rPr>
                <w:rFonts w:hint="eastAsia" w:asciiTheme="minorEastAsia" w:hAnsiTheme="minorEastAsia" w:eastAsiaTheme="minorEastAsia" w:cstheme="minorEastAsia"/>
                <w:b/>
                <w:bCs/>
                <w:kern w:val="2"/>
                <w:sz w:val="24"/>
                <w:szCs w:val="24"/>
              </w:rPr>
            </w:pPr>
            <w:r>
              <w:rPr>
                <w:rFonts w:hint="eastAsia" w:asciiTheme="minorEastAsia" w:hAnsiTheme="minorEastAsia" w:eastAsiaTheme="minorEastAsia" w:cstheme="minorEastAsia"/>
                <w:b/>
                <w:bCs/>
                <w:kern w:val="2"/>
                <w:sz w:val="24"/>
                <w:szCs w:val="24"/>
              </w:rPr>
              <w:t>服务频率</w:t>
            </w:r>
          </w:p>
        </w:tc>
        <w:tc>
          <w:tcPr>
            <w:tcW w:w="1134" w:type="dxa"/>
            <w:tcBorders>
              <w:top w:val="single" w:color="auto" w:sz="8" w:space="0"/>
              <w:left w:val="single" w:color="auto" w:sz="8" w:space="0"/>
              <w:bottom w:val="single" w:color="auto" w:sz="8" w:space="0"/>
              <w:right w:val="single" w:color="auto" w:sz="8" w:space="0"/>
            </w:tcBorders>
            <w:shd w:val="clear" w:color="auto" w:fill="auto"/>
            <w:vAlign w:val="center"/>
          </w:tcPr>
          <w:p w14:paraId="74F3FFC9">
            <w:pPr>
              <w:widowControl/>
              <w:spacing w:before="100" w:after="100" w:line="480" w:lineRule="auto"/>
              <w:jc w:val="center"/>
              <w:rPr>
                <w:rFonts w:hint="eastAsia" w:asciiTheme="minorEastAsia" w:hAnsiTheme="minorEastAsia" w:eastAsiaTheme="minorEastAsia" w:cstheme="minorEastAsia"/>
                <w:b/>
                <w:bCs/>
                <w:kern w:val="2"/>
                <w:sz w:val="24"/>
                <w:szCs w:val="24"/>
              </w:rPr>
            </w:pPr>
            <w:r>
              <w:rPr>
                <w:rFonts w:hint="eastAsia" w:asciiTheme="minorEastAsia" w:hAnsiTheme="minorEastAsia" w:eastAsiaTheme="minorEastAsia" w:cstheme="minorEastAsia"/>
                <w:b/>
                <w:bCs/>
                <w:kern w:val="2"/>
                <w:sz w:val="24"/>
                <w:szCs w:val="24"/>
              </w:rPr>
              <w:t>服务期限</w:t>
            </w:r>
          </w:p>
        </w:tc>
        <w:tc>
          <w:tcPr>
            <w:tcW w:w="1998" w:type="dxa"/>
            <w:tcBorders>
              <w:top w:val="single" w:color="auto" w:sz="8" w:space="0"/>
              <w:left w:val="single" w:color="auto" w:sz="8" w:space="0"/>
              <w:bottom w:val="single" w:color="auto" w:sz="8" w:space="0"/>
              <w:right w:val="single" w:color="auto" w:sz="8" w:space="0"/>
            </w:tcBorders>
            <w:shd w:val="clear" w:color="auto" w:fill="auto"/>
            <w:vAlign w:val="center"/>
          </w:tcPr>
          <w:p w14:paraId="640044C2">
            <w:pPr>
              <w:widowControl/>
              <w:spacing w:before="100" w:after="100" w:line="480" w:lineRule="auto"/>
              <w:jc w:val="center"/>
              <w:rPr>
                <w:rFonts w:hint="eastAsia" w:asciiTheme="minorEastAsia" w:hAnsiTheme="minorEastAsia" w:eastAsiaTheme="minorEastAsia" w:cstheme="minorEastAsia"/>
                <w:b/>
                <w:bCs/>
                <w:kern w:val="2"/>
                <w:sz w:val="24"/>
                <w:szCs w:val="24"/>
              </w:rPr>
            </w:pPr>
            <w:r>
              <w:rPr>
                <w:rFonts w:hint="eastAsia" w:asciiTheme="minorEastAsia" w:hAnsiTheme="minorEastAsia" w:eastAsiaTheme="minorEastAsia" w:cstheme="minorEastAsia"/>
                <w:b/>
                <w:bCs/>
                <w:kern w:val="2"/>
                <w:sz w:val="24"/>
                <w:szCs w:val="24"/>
              </w:rPr>
              <w:t>备注</w:t>
            </w:r>
          </w:p>
        </w:tc>
      </w:tr>
      <w:tr w14:paraId="61C565EA">
        <w:tblPrEx>
          <w:tblCellMar>
            <w:top w:w="15" w:type="dxa"/>
            <w:left w:w="15" w:type="dxa"/>
            <w:bottom w:w="15" w:type="dxa"/>
            <w:right w:w="15" w:type="dxa"/>
          </w:tblCellMar>
        </w:tblPrEx>
        <w:trPr>
          <w:jc w:val="center"/>
        </w:trPr>
        <w:tc>
          <w:tcPr>
            <w:tcW w:w="780" w:type="dxa"/>
            <w:tcBorders>
              <w:top w:val="single" w:color="auto" w:sz="8" w:space="0"/>
              <w:left w:val="single" w:color="auto" w:sz="8" w:space="0"/>
              <w:bottom w:val="single" w:color="auto" w:sz="8" w:space="0"/>
              <w:right w:val="single" w:color="auto" w:sz="8" w:space="0"/>
            </w:tcBorders>
            <w:shd w:val="clear" w:color="auto" w:fill="auto"/>
            <w:vAlign w:val="center"/>
          </w:tcPr>
          <w:p w14:paraId="1E371710">
            <w:pPr>
              <w:widowControl/>
              <w:spacing w:before="100" w:after="100" w:line="480"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w:t>
            </w:r>
          </w:p>
        </w:tc>
        <w:tc>
          <w:tcPr>
            <w:tcW w:w="2693" w:type="dxa"/>
            <w:tcBorders>
              <w:top w:val="single" w:color="auto" w:sz="8" w:space="0"/>
              <w:left w:val="single" w:color="auto" w:sz="8" w:space="0"/>
              <w:bottom w:val="single" w:color="auto" w:sz="8" w:space="0"/>
              <w:right w:val="single" w:color="auto" w:sz="8" w:space="0"/>
            </w:tcBorders>
            <w:shd w:val="clear" w:color="auto" w:fill="auto"/>
            <w:vAlign w:val="center"/>
          </w:tcPr>
          <w:p w14:paraId="228EA674">
            <w:pPr>
              <w:widowControl/>
              <w:spacing w:before="100" w:after="100" w:line="480"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互联网/专网暴露面梳理服务</w:t>
            </w:r>
          </w:p>
        </w:tc>
        <w:tc>
          <w:tcPr>
            <w:tcW w:w="1559" w:type="dxa"/>
            <w:tcBorders>
              <w:top w:val="single" w:color="auto" w:sz="8" w:space="0"/>
              <w:left w:val="single" w:color="auto" w:sz="8" w:space="0"/>
              <w:bottom w:val="single" w:color="auto" w:sz="8" w:space="0"/>
              <w:right w:val="single" w:color="auto" w:sz="8" w:space="0"/>
            </w:tcBorders>
            <w:shd w:val="clear" w:color="auto" w:fill="auto"/>
            <w:vAlign w:val="center"/>
          </w:tcPr>
          <w:p w14:paraId="3FE6C250">
            <w:pPr>
              <w:widowControl/>
              <w:spacing w:before="100" w:after="100" w:line="480"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半年一次</w:t>
            </w:r>
          </w:p>
        </w:tc>
        <w:tc>
          <w:tcPr>
            <w:tcW w:w="1134" w:type="dxa"/>
            <w:tcBorders>
              <w:top w:val="single" w:color="auto" w:sz="8" w:space="0"/>
              <w:left w:val="single" w:color="auto" w:sz="8" w:space="0"/>
              <w:bottom w:val="single" w:color="auto" w:sz="8" w:space="0"/>
              <w:right w:val="single" w:color="auto" w:sz="8" w:space="0"/>
            </w:tcBorders>
            <w:shd w:val="clear" w:color="auto" w:fill="auto"/>
            <w:vAlign w:val="center"/>
          </w:tcPr>
          <w:p w14:paraId="02172C96">
            <w:pPr>
              <w:widowControl/>
              <w:spacing w:before="100" w:after="100" w:line="480"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1年</w:t>
            </w:r>
          </w:p>
        </w:tc>
        <w:tc>
          <w:tcPr>
            <w:tcW w:w="1998" w:type="dxa"/>
            <w:tcBorders>
              <w:top w:val="single" w:color="auto" w:sz="8" w:space="0"/>
              <w:left w:val="single" w:color="auto" w:sz="8" w:space="0"/>
              <w:bottom w:val="single" w:color="auto" w:sz="8" w:space="0"/>
              <w:right w:val="single" w:color="auto" w:sz="8" w:space="0"/>
            </w:tcBorders>
            <w:shd w:val="clear" w:color="auto" w:fill="auto"/>
            <w:vAlign w:val="center"/>
          </w:tcPr>
          <w:p w14:paraId="41FE22E0">
            <w:pPr>
              <w:widowControl/>
              <w:spacing w:before="100" w:after="100" w:line="480"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详细技术指标附后</w:t>
            </w:r>
          </w:p>
        </w:tc>
      </w:tr>
      <w:tr w14:paraId="2A204A8E">
        <w:tblPrEx>
          <w:tblCellMar>
            <w:top w:w="15" w:type="dxa"/>
            <w:left w:w="15" w:type="dxa"/>
            <w:bottom w:w="15" w:type="dxa"/>
            <w:right w:w="15" w:type="dxa"/>
          </w:tblCellMar>
        </w:tblPrEx>
        <w:trPr>
          <w:jc w:val="center"/>
        </w:trPr>
        <w:tc>
          <w:tcPr>
            <w:tcW w:w="780" w:type="dxa"/>
            <w:tcBorders>
              <w:top w:val="single" w:color="auto" w:sz="8" w:space="0"/>
              <w:left w:val="single" w:color="auto" w:sz="8" w:space="0"/>
              <w:bottom w:val="single" w:color="auto" w:sz="8" w:space="0"/>
              <w:right w:val="single" w:color="auto" w:sz="8" w:space="0"/>
            </w:tcBorders>
            <w:shd w:val="clear" w:color="auto" w:fill="auto"/>
            <w:vAlign w:val="center"/>
          </w:tcPr>
          <w:p w14:paraId="5F37F958">
            <w:pPr>
              <w:widowControl/>
              <w:spacing w:before="100" w:after="100" w:line="480"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2</w:t>
            </w:r>
          </w:p>
        </w:tc>
        <w:tc>
          <w:tcPr>
            <w:tcW w:w="2693" w:type="dxa"/>
            <w:tcBorders>
              <w:top w:val="single" w:color="auto" w:sz="8" w:space="0"/>
              <w:left w:val="single" w:color="auto" w:sz="8" w:space="0"/>
              <w:bottom w:val="single" w:color="auto" w:sz="8" w:space="0"/>
              <w:right w:val="single" w:color="auto" w:sz="8" w:space="0"/>
            </w:tcBorders>
            <w:shd w:val="clear" w:color="auto" w:fill="auto"/>
            <w:vAlign w:val="center"/>
          </w:tcPr>
          <w:p w14:paraId="1348E35C">
            <w:pPr>
              <w:widowControl/>
              <w:spacing w:before="100" w:after="100" w:line="480"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深度风险分析和检测服务</w:t>
            </w:r>
          </w:p>
        </w:tc>
        <w:tc>
          <w:tcPr>
            <w:tcW w:w="1559" w:type="dxa"/>
            <w:tcBorders>
              <w:top w:val="single" w:color="auto" w:sz="8" w:space="0"/>
              <w:left w:val="single" w:color="auto" w:sz="8" w:space="0"/>
              <w:bottom w:val="single" w:color="auto" w:sz="8" w:space="0"/>
              <w:right w:val="single" w:color="auto" w:sz="8" w:space="0"/>
            </w:tcBorders>
            <w:shd w:val="clear" w:color="auto" w:fill="auto"/>
            <w:vAlign w:val="center"/>
          </w:tcPr>
          <w:p w14:paraId="4D4A7F4A">
            <w:pPr>
              <w:widowControl/>
              <w:spacing w:before="100" w:after="100" w:line="480"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半年一次</w:t>
            </w:r>
          </w:p>
        </w:tc>
        <w:tc>
          <w:tcPr>
            <w:tcW w:w="1134" w:type="dxa"/>
            <w:tcBorders>
              <w:top w:val="single" w:color="auto" w:sz="8" w:space="0"/>
              <w:left w:val="single" w:color="auto" w:sz="8" w:space="0"/>
              <w:bottom w:val="single" w:color="auto" w:sz="8" w:space="0"/>
              <w:right w:val="single" w:color="auto" w:sz="8" w:space="0"/>
            </w:tcBorders>
            <w:shd w:val="clear" w:color="auto" w:fill="auto"/>
            <w:vAlign w:val="center"/>
          </w:tcPr>
          <w:p w14:paraId="06F430C6">
            <w:pPr>
              <w:widowControl/>
              <w:spacing w:before="100" w:after="100" w:line="480"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1年</w:t>
            </w:r>
          </w:p>
        </w:tc>
        <w:tc>
          <w:tcPr>
            <w:tcW w:w="1998" w:type="dxa"/>
            <w:tcBorders>
              <w:top w:val="single" w:color="auto" w:sz="8" w:space="0"/>
              <w:left w:val="single" w:color="auto" w:sz="8" w:space="0"/>
              <w:bottom w:val="single" w:color="auto" w:sz="8" w:space="0"/>
              <w:right w:val="single" w:color="auto" w:sz="8" w:space="0"/>
            </w:tcBorders>
            <w:shd w:val="clear" w:color="auto" w:fill="auto"/>
            <w:vAlign w:val="center"/>
          </w:tcPr>
          <w:p w14:paraId="0A8A6923">
            <w:pPr>
              <w:widowControl/>
              <w:spacing w:before="100" w:after="100" w:line="480"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详细技术指标附后</w:t>
            </w:r>
          </w:p>
        </w:tc>
      </w:tr>
      <w:tr w14:paraId="47B729BC">
        <w:tblPrEx>
          <w:tblCellMar>
            <w:top w:w="15" w:type="dxa"/>
            <w:left w:w="15" w:type="dxa"/>
            <w:bottom w:w="15" w:type="dxa"/>
            <w:right w:w="15" w:type="dxa"/>
          </w:tblCellMar>
        </w:tblPrEx>
        <w:trPr>
          <w:jc w:val="center"/>
        </w:trPr>
        <w:tc>
          <w:tcPr>
            <w:tcW w:w="780" w:type="dxa"/>
            <w:tcBorders>
              <w:top w:val="single" w:color="auto" w:sz="8" w:space="0"/>
              <w:left w:val="single" w:color="auto" w:sz="8" w:space="0"/>
              <w:bottom w:val="single" w:color="auto" w:sz="8" w:space="0"/>
              <w:right w:val="single" w:color="auto" w:sz="8" w:space="0"/>
            </w:tcBorders>
            <w:shd w:val="clear" w:color="auto" w:fill="auto"/>
            <w:vAlign w:val="center"/>
          </w:tcPr>
          <w:p w14:paraId="4F85056C">
            <w:pPr>
              <w:widowControl/>
              <w:spacing w:before="100" w:after="100" w:line="480"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3</w:t>
            </w:r>
          </w:p>
        </w:tc>
        <w:tc>
          <w:tcPr>
            <w:tcW w:w="2693" w:type="dxa"/>
            <w:tcBorders>
              <w:top w:val="single" w:color="auto" w:sz="8" w:space="0"/>
              <w:left w:val="single" w:color="auto" w:sz="8" w:space="0"/>
              <w:bottom w:val="single" w:color="auto" w:sz="8" w:space="0"/>
              <w:right w:val="single" w:color="auto" w:sz="8" w:space="0"/>
            </w:tcBorders>
            <w:shd w:val="clear" w:color="auto" w:fill="auto"/>
            <w:vAlign w:val="center"/>
          </w:tcPr>
          <w:p w14:paraId="5E30F8E0">
            <w:pPr>
              <w:widowControl/>
              <w:spacing w:before="100" w:after="100" w:line="480"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安全巡检优化服务</w:t>
            </w:r>
          </w:p>
        </w:tc>
        <w:tc>
          <w:tcPr>
            <w:tcW w:w="1559" w:type="dxa"/>
            <w:tcBorders>
              <w:top w:val="single" w:color="auto" w:sz="8" w:space="0"/>
              <w:left w:val="single" w:color="auto" w:sz="8" w:space="0"/>
              <w:bottom w:val="single" w:color="auto" w:sz="8" w:space="0"/>
              <w:right w:val="single" w:color="auto" w:sz="8" w:space="0"/>
            </w:tcBorders>
            <w:shd w:val="clear" w:color="auto" w:fill="auto"/>
            <w:vAlign w:val="center"/>
          </w:tcPr>
          <w:p w14:paraId="4861A870">
            <w:pPr>
              <w:widowControl/>
              <w:spacing w:before="100" w:after="100" w:line="480"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每季度一次</w:t>
            </w:r>
          </w:p>
        </w:tc>
        <w:tc>
          <w:tcPr>
            <w:tcW w:w="1134" w:type="dxa"/>
            <w:tcBorders>
              <w:top w:val="single" w:color="auto" w:sz="8" w:space="0"/>
              <w:left w:val="single" w:color="auto" w:sz="8" w:space="0"/>
              <w:bottom w:val="single" w:color="auto" w:sz="8" w:space="0"/>
              <w:right w:val="single" w:color="auto" w:sz="8" w:space="0"/>
            </w:tcBorders>
            <w:shd w:val="clear" w:color="auto" w:fill="auto"/>
            <w:vAlign w:val="center"/>
          </w:tcPr>
          <w:p w14:paraId="7FC3C63F">
            <w:pPr>
              <w:widowControl/>
              <w:spacing w:before="100" w:after="100" w:line="480"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1年</w:t>
            </w:r>
          </w:p>
        </w:tc>
        <w:tc>
          <w:tcPr>
            <w:tcW w:w="1998" w:type="dxa"/>
            <w:tcBorders>
              <w:top w:val="single" w:color="auto" w:sz="8" w:space="0"/>
              <w:left w:val="single" w:color="auto" w:sz="8" w:space="0"/>
              <w:bottom w:val="single" w:color="auto" w:sz="8" w:space="0"/>
              <w:right w:val="single" w:color="auto" w:sz="8" w:space="0"/>
            </w:tcBorders>
            <w:shd w:val="clear" w:color="auto" w:fill="auto"/>
            <w:vAlign w:val="center"/>
          </w:tcPr>
          <w:p w14:paraId="7CE49F2D">
            <w:pPr>
              <w:widowControl/>
              <w:spacing w:before="100" w:after="100" w:line="480"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详细技术指标附后</w:t>
            </w:r>
          </w:p>
        </w:tc>
      </w:tr>
      <w:tr w14:paraId="37E9F3AA">
        <w:tblPrEx>
          <w:tblCellMar>
            <w:top w:w="15" w:type="dxa"/>
            <w:left w:w="15" w:type="dxa"/>
            <w:bottom w:w="15" w:type="dxa"/>
            <w:right w:w="15" w:type="dxa"/>
          </w:tblCellMar>
        </w:tblPrEx>
        <w:trPr>
          <w:jc w:val="center"/>
        </w:trPr>
        <w:tc>
          <w:tcPr>
            <w:tcW w:w="780" w:type="dxa"/>
            <w:tcBorders>
              <w:top w:val="single" w:color="auto" w:sz="8" w:space="0"/>
              <w:left w:val="single" w:color="auto" w:sz="8" w:space="0"/>
              <w:bottom w:val="single" w:color="auto" w:sz="8" w:space="0"/>
              <w:right w:val="single" w:color="auto" w:sz="8" w:space="0"/>
            </w:tcBorders>
            <w:shd w:val="clear" w:color="auto" w:fill="auto"/>
            <w:vAlign w:val="center"/>
          </w:tcPr>
          <w:p w14:paraId="4FDD6015">
            <w:pPr>
              <w:widowControl/>
              <w:spacing w:before="100" w:after="100" w:line="480"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4</w:t>
            </w:r>
          </w:p>
        </w:tc>
        <w:tc>
          <w:tcPr>
            <w:tcW w:w="2693" w:type="dxa"/>
            <w:tcBorders>
              <w:top w:val="single" w:color="auto" w:sz="8" w:space="0"/>
              <w:left w:val="single" w:color="auto" w:sz="8" w:space="0"/>
              <w:bottom w:val="single" w:color="auto" w:sz="8" w:space="0"/>
              <w:right w:val="single" w:color="auto" w:sz="8" w:space="0"/>
            </w:tcBorders>
            <w:shd w:val="clear" w:color="auto" w:fill="auto"/>
            <w:vAlign w:val="center"/>
          </w:tcPr>
          <w:p w14:paraId="221F8D6F">
            <w:pPr>
              <w:widowControl/>
              <w:spacing w:before="100" w:after="100" w:line="480"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网络安全培训服务</w:t>
            </w:r>
          </w:p>
        </w:tc>
        <w:tc>
          <w:tcPr>
            <w:tcW w:w="1559" w:type="dxa"/>
            <w:tcBorders>
              <w:top w:val="single" w:color="auto" w:sz="8" w:space="0"/>
              <w:left w:val="single" w:color="auto" w:sz="8" w:space="0"/>
              <w:bottom w:val="single" w:color="auto" w:sz="8" w:space="0"/>
              <w:right w:val="single" w:color="auto" w:sz="8" w:space="0"/>
            </w:tcBorders>
            <w:shd w:val="clear" w:color="auto" w:fill="auto"/>
            <w:vAlign w:val="center"/>
          </w:tcPr>
          <w:p w14:paraId="43EB4F8C">
            <w:pPr>
              <w:widowControl/>
              <w:spacing w:before="100" w:after="100" w:line="480"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每年一次</w:t>
            </w:r>
          </w:p>
        </w:tc>
        <w:tc>
          <w:tcPr>
            <w:tcW w:w="1134" w:type="dxa"/>
            <w:tcBorders>
              <w:top w:val="single" w:color="auto" w:sz="8" w:space="0"/>
              <w:left w:val="single" w:color="auto" w:sz="8" w:space="0"/>
              <w:bottom w:val="single" w:color="auto" w:sz="8" w:space="0"/>
              <w:right w:val="single" w:color="auto" w:sz="8" w:space="0"/>
            </w:tcBorders>
            <w:shd w:val="clear" w:color="auto" w:fill="auto"/>
            <w:vAlign w:val="center"/>
          </w:tcPr>
          <w:p w14:paraId="67834C74">
            <w:pPr>
              <w:widowControl/>
              <w:spacing w:before="100" w:after="100" w:line="480"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1年</w:t>
            </w:r>
          </w:p>
        </w:tc>
        <w:tc>
          <w:tcPr>
            <w:tcW w:w="1998" w:type="dxa"/>
            <w:tcBorders>
              <w:top w:val="single" w:color="auto" w:sz="8" w:space="0"/>
              <w:left w:val="single" w:color="auto" w:sz="8" w:space="0"/>
              <w:bottom w:val="single" w:color="auto" w:sz="8" w:space="0"/>
              <w:right w:val="single" w:color="auto" w:sz="8" w:space="0"/>
            </w:tcBorders>
            <w:shd w:val="clear" w:color="auto" w:fill="auto"/>
            <w:vAlign w:val="center"/>
          </w:tcPr>
          <w:p w14:paraId="184AB0B1">
            <w:pPr>
              <w:widowControl/>
              <w:spacing w:before="100" w:after="100" w:line="480"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详细技术指标附后</w:t>
            </w:r>
          </w:p>
        </w:tc>
      </w:tr>
      <w:tr w14:paraId="26965F8A">
        <w:tblPrEx>
          <w:tblCellMar>
            <w:top w:w="15" w:type="dxa"/>
            <w:left w:w="15" w:type="dxa"/>
            <w:bottom w:w="15" w:type="dxa"/>
            <w:right w:w="15" w:type="dxa"/>
          </w:tblCellMar>
        </w:tblPrEx>
        <w:trPr>
          <w:jc w:val="center"/>
        </w:trPr>
        <w:tc>
          <w:tcPr>
            <w:tcW w:w="780" w:type="dxa"/>
            <w:tcBorders>
              <w:top w:val="single" w:color="auto" w:sz="8" w:space="0"/>
              <w:left w:val="single" w:color="auto" w:sz="8" w:space="0"/>
              <w:bottom w:val="single" w:color="auto" w:sz="8" w:space="0"/>
              <w:right w:val="single" w:color="auto" w:sz="8" w:space="0"/>
            </w:tcBorders>
            <w:shd w:val="clear" w:color="auto" w:fill="auto"/>
            <w:vAlign w:val="center"/>
          </w:tcPr>
          <w:p w14:paraId="21FE807B">
            <w:pPr>
              <w:widowControl/>
              <w:spacing w:before="100" w:after="100" w:line="480"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5</w:t>
            </w:r>
          </w:p>
        </w:tc>
        <w:tc>
          <w:tcPr>
            <w:tcW w:w="2693" w:type="dxa"/>
            <w:tcBorders>
              <w:top w:val="single" w:color="auto" w:sz="8" w:space="0"/>
              <w:left w:val="single" w:color="auto" w:sz="8" w:space="0"/>
              <w:bottom w:val="single" w:color="auto" w:sz="8" w:space="0"/>
              <w:right w:val="single" w:color="auto" w:sz="8" w:space="0"/>
            </w:tcBorders>
            <w:shd w:val="clear" w:color="auto" w:fill="auto"/>
            <w:vAlign w:val="center"/>
          </w:tcPr>
          <w:p w14:paraId="34FCBEB0">
            <w:pPr>
              <w:widowControl/>
              <w:spacing w:before="100" w:after="100" w:line="480"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网络安全应急响应服务</w:t>
            </w:r>
          </w:p>
        </w:tc>
        <w:tc>
          <w:tcPr>
            <w:tcW w:w="1559" w:type="dxa"/>
            <w:tcBorders>
              <w:top w:val="single" w:color="auto" w:sz="8" w:space="0"/>
              <w:left w:val="single" w:color="auto" w:sz="8" w:space="0"/>
              <w:bottom w:val="single" w:color="auto" w:sz="8" w:space="0"/>
              <w:right w:val="single" w:color="auto" w:sz="8" w:space="0"/>
            </w:tcBorders>
            <w:shd w:val="clear" w:color="auto" w:fill="auto"/>
            <w:vAlign w:val="center"/>
          </w:tcPr>
          <w:p w14:paraId="772DD9F7">
            <w:pPr>
              <w:widowControl/>
              <w:spacing w:before="100" w:after="100" w:line="480"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常态化服务</w:t>
            </w:r>
          </w:p>
        </w:tc>
        <w:tc>
          <w:tcPr>
            <w:tcW w:w="1134" w:type="dxa"/>
            <w:tcBorders>
              <w:top w:val="single" w:color="auto" w:sz="8" w:space="0"/>
              <w:left w:val="single" w:color="auto" w:sz="8" w:space="0"/>
              <w:bottom w:val="single" w:color="auto" w:sz="8" w:space="0"/>
              <w:right w:val="single" w:color="auto" w:sz="8" w:space="0"/>
            </w:tcBorders>
            <w:shd w:val="clear" w:color="auto" w:fill="auto"/>
            <w:vAlign w:val="center"/>
          </w:tcPr>
          <w:p w14:paraId="6AAE826B">
            <w:pPr>
              <w:widowControl/>
              <w:spacing w:before="100" w:after="100" w:line="480"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1年</w:t>
            </w:r>
          </w:p>
        </w:tc>
        <w:tc>
          <w:tcPr>
            <w:tcW w:w="1998" w:type="dxa"/>
            <w:tcBorders>
              <w:top w:val="single" w:color="auto" w:sz="8" w:space="0"/>
              <w:left w:val="single" w:color="auto" w:sz="8" w:space="0"/>
              <w:bottom w:val="single" w:color="auto" w:sz="8" w:space="0"/>
              <w:right w:val="single" w:color="auto" w:sz="8" w:space="0"/>
            </w:tcBorders>
            <w:shd w:val="clear" w:color="auto" w:fill="auto"/>
            <w:vAlign w:val="center"/>
          </w:tcPr>
          <w:p w14:paraId="1B2DED6A">
            <w:pPr>
              <w:widowControl/>
              <w:spacing w:before="100" w:after="100" w:line="480"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详细技术指标附后</w:t>
            </w:r>
          </w:p>
        </w:tc>
      </w:tr>
    </w:tbl>
    <w:p w14:paraId="78C5CE69"/>
    <w:p w14:paraId="0E167452">
      <w:pPr>
        <w:pStyle w:val="2"/>
        <w:numPr>
          <w:ilvl w:val="0"/>
          <w:numId w:val="1"/>
        </w:numPr>
        <w:tabs>
          <w:tab w:val="left" w:pos="0"/>
        </w:tabs>
        <w:spacing w:before="62" w:beforeLines="20" w:after="156" w:afterLines="50" w:line="440" w:lineRule="exact"/>
        <w:ind w:firstLine="562" w:firstLineChars="200"/>
        <w:jc w:val="both"/>
        <w:rPr>
          <w:rFonts w:hint="eastAsia" w:ascii="宋体" w:hAnsi="宋体" w:cs="宋体"/>
          <w:kern w:val="2"/>
          <w:sz w:val="28"/>
          <w:szCs w:val="28"/>
        </w:rPr>
      </w:pPr>
      <w:r>
        <w:rPr>
          <w:rFonts w:hint="eastAsia" w:ascii="宋体" w:hAnsi="宋体" w:cs="宋体"/>
          <w:kern w:val="2"/>
          <w:sz w:val="28"/>
          <w:szCs w:val="28"/>
        </w:rPr>
        <w:t>技术指标</w:t>
      </w:r>
    </w:p>
    <w:tbl>
      <w:tblPr>
        <w:tblStyle w:val="6"/>
        <w:tblpPr w:leftFromText="180" w:rightFromText="180" w:vertAnchor="text" w:horzAnchor="page" w:tblpXSpec="center" w:tblpY="117"/>
        <w:tblOverlap w:val="never"/>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9"/>
        <w:gridCol w:w="1665"/>
        <w:gridCol w:w="4702"/>
        <w:gridCol w:w="1423"/>
      </w:tblGrid>
      <w:tr w14:paraId="37918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8" w:type="pct"/>
            <w:vAlign w:val="center"/>
          </w:tcPr>
          <w:p w14:paraId="5E6D177F">
            <w:pPr>
              <w:spacing w:line="520" w:lineRule="exact"/>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序号</w:t>
            </w:r>
          </w:p>
        </w:tc>
        <w:tc>
          <w:tcPr>
            <w:tcW w:w="977" w:type="pct"/>
            <w:vAlign w:val="center"/>
          </w:tcPr>
          <w:p w14:paraId="401A2FE6">
            <w:pPr>
              <w:spacing w:line="520" w:lineRule="exact"/>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服务名称</w:t>
            </w:r>
          </w:p>
        </w:tc>
        <w:tc>
          <w:tcPr>
            <w:tcW w:w="2760" w:type="pct"/>
            <w:vAlign w:val="center"/>
          </w:tcPr>
          <w:p w14:paraId="39F72506">
            <w:pPr>
              <w:spacing w:line="520" w:lineRule="exact"/>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详细技术指标</w:t>
            </w:r>
          </w:p>
        </w:tc>
        <w:tc>
          <w:tcPr>
            <w:tcW w:w="835" w:type="pct"/>
            <w:vAlign w:val="center"/>
          </w:tcPr>
          <w:p w14:paraId="4714AA2E">
            <w:pPr>
              <w:spacing w:line="520" w:lineRule="exact"/>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单位</w:t>
            </w:r>
          </w:p>
        </w:tc>
      </w:tr>
      <w:tr w14:paraId="4E9B6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28" w:type="pct"/>
            <w:vAlign w:val="center"/>
          </w:tcPr>
          <w:p w14:paraId="799FA4EB">
            <w:pPr>
              <w:spacing w:line="360" w:lineRule="exact"/>
              <w:jc w:val="center"/>
              <w:rPr>
                <w:rFonts w:hint="eastAsia" w:asciiTheme="minorEastAsia" w:hAnsiTheme="minorEastAsia" w:eastAsiaTheme="minorEastAsia" w:cstheme="minorEastAsia"/>
                <w:b/>
                <w:bCs/>
                <w:spacing w:val="6"/>
                <w:sz w:val="24"/>
                <w:szCs w:val="24"/>
                <w:shd w:val="clear" w:color="auto" w:fill="FFFFFF"/>
              </w:rPr>
            </w:pPr>
            <w:r>
              <w:rPr>
                <w:rFonts w:hint="eastAsia" w:asciiTheme="minorEastAsia" w:hAnsiTheme="minorEastAsia" w:eastAsiaTheme="minorEastAsia" w:cstheme="minorEastAsia"/>
                <w:b/>
                <w:bCs/>
                <w:spacing w:val="6"/>
                <w:sz w:val="24"/>
                <w:szCs w:val="24"/>
                <w:shd w:val="clear" w:color="auto" w:fill="FFFFFF"/>
              </w:rPr>
              <w:t>1</w:t>
            </w:r>
          </w:p>
        </w:tc>
        <w:tc>
          <w:tcPr>
            <w:tcW w:w="977" w:type="pct"/>
            <w:vAlign w:val="center"/>
          </w:tcPr>
          <w:p w14:paraId="7C86CF2B">
            <w:pPr>
              <w:widowControl/>
              <w:spacing w:before="100" w:after="100" w:line="480"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互联网/专网暴露面梳理服务</w:t>
            </w:r>
          </w:p>
        </w:tc>
        <w:tc>
          <w:tcPr>
            <w:tcW w:w="2760" w:type="pct"/>
          </w:tcPr>
          <w:p w14:paraId="14FC11B2">
            <w:pPr>
              <w:spacing w:line="360" w:lineRule="auto"/>
              <w:jc w:val="left"/>
              <w:rPr>
                <w:rStyle w:val="8"/>
                <w:rFonts w:hint="eastAsia" w:asciiTheme="minorEastAsia" w:hAnsiTheme="minorEastAsia" w:eastAsiaTheme="minorEastAsia" w:cstheme="minorEastAsia"/>
                <w:b w:val="0"/>
                <w:spacing w:val="6"/>
                <w:sz w:val="24"/>
                <w:szCs w:val="24"/>
                <w:shd w:val="clear" w:color="auto" w:fill="FFFFFF"/>
              </w:rPr>
            </w:pPr>
            <w:r>
              <w:rPr>
                <w:rStyle w:val="8"/>
                <w:rFonts w:hint="eastAsia" w:asciiTheme="minorEastAsia" w:hAnsiTheme="minorEastAsia" w:eastAsiaTheme="minorEastAsia" w:cstheme="minorEastAsia"/>
                <w:b w:val="0"/>
                <w:spacing w:val="6"/>
                <w:sz w:val="24"/>
                <w:szCs w:val="24"/>
                <w:shd w:val="clear" w:color="auto" w:fill="FFFFFF"/>
              </w:rPr>
              <w:t>1.服务内容：全面排查医院互联网与专网环境下对外开放的IP、端口、域名及各类业务资产，梳理外网映射与专网互联资源，排查违规外联、私自映射等安全隐患，建立完整资产台账，编制专项梳理报告并针对性提出权限收紧、端口管控等整改优化建议。</w:t>
            </w:r>
          </w:p>
          <w:p w14:paraId="253F9A2E">
            <w:pPr>
              <w:spacing w:line="360" w:lineRule="auto"/>
              <w:jc w:val="left"/>
              <w:rPr>
                <w:rStyle w:val="8"/>
                <w:rFonts w:hint="eastAsia" w:asciiTheme="minorEastAsia" w:hAnsiTheme="minorEastAsia" w:eastAsiaTheme="minorEastAsia" w:cstheme="minorEastAsia"/>
                <w:b w:val="0"/>
                <w:spacing w:val="6"/>
                <w:sz w:val="24"/>
                <w:szCs w:val="24"/>
                <w:shd w:val="clear" w:color="auto" w:fill="FFFFFF"/>
              </w:rPr>
            </w:pPr>
            <w:r>
              <w:rPr>
                <w:rStyle w:val="8"/>
                <w:rFonts w:hint="eastAsia" w:asciiTheme="minorEastAsia" w:hAnsiTheme="minorEastAsia" w:eastAsiaTheme="minorEastAsia" w:cstheme="minorEastAsia"/>
                <w:b w:val="0"/>
                <w:spacing w:val="6"/>
                <w:sz w:val="24"/>
                <w:szCs w:val="24"/>
                <w:shd w:val="clear" w:color="auto" w:fill="FFFFFF"/>
              </w:rPr>
              <w:t>2.服务频率：半年一次</w:t>
            </w:r>
          </w:p>
          <w:p w14:paraId="5AC691F1">
            <w:pPr>
              <w:spacing w:line="360" w:lineRule="auto"/>
              <w:jc w:val="left"/>
              <w:rPr>
                <w:rStyle w:val="8"/>
                <w:rFonts w:hint="eastAsia" w:asciiTheme="minorEastAsia" w:hAnsiTheme="minorEastAsia" w:eastAsiaTheme="minorEastAsia" w:cstheme="minorEastAsia"/>
                <w:b w:val="0"/>
                <w:spacing w:val="6"/>
                <w:sz w:val="24"/>
                <w:szCs w:val="24"/>
                <w:shd w:val="clear" w:color="auto" w:fill="FFFFFF"/>
              </w:rPr>
            </w:pPr>
            <w:r>
              <w:rPr>
                <w:rStyle w:val="8"/>
                <w:rFonts w:hint="eastAsia" w:asciiTheme="minorEastAsia" w:hAnsiTheme="minorEastAsia" w:eastAsiaTheme="minorEastAsia" w:cstheme="minorEastAsia"/>
                <w:b w:val="0"/>
                <w:spacing w:val="6"/>
                <w:sz w:val="24"/>
                <w:szCs w:val="24"/>
                <w:shd w:val="clear" w:color="auto" w:fill="FFFFFF"/>
              </w:rPr>
              <w:t>3.输出内容：《互联网及专网暴露面梳理报告》</w:t>
            </w:r>
          </w:p>
        </w:tc>
        <w:tc>
          <w:tcPr>
            <w:tcW w:w="835" w:type="pct"/>
            <w:vAlign w:val="center"/>
          </w:tcPr>
          <w:p w14:paraId="0ED9A4FE">
            <w:pPr>
              <w:spacing w:line="360" w:lineRule="auto"/>
              <w:jc w:val="center"/>
              <w:rPr>
                <w:rFonts w:hint="eastAsia" w:asciiTheme="minorEastAsia" w:hAnsiTheme="minorEastAsia" w:eastAsiaTheme="minorEastAsia" w:cstheme="minorEastAsia"/>
                <w:spacing w:val="6"/>
                <w:sz w:val="24"/>
                <w:szCs w:val="24"/>
                <w:shd w:val="clear" w:color="auto" w:fill="FFFFFF"/>
              </w:rPr>
            </w:pPr>
          </w:p>
        </w:tc>
      </w:tr>
      <w:tr w14:paraId="685E1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28" w:type="pct"/>
            <w:vAlign w:val="center"/>
          </w:tcPr>
          <w:p w14:paraId="46028F92">
            <w:pPr>
              <w:spacing w:line="360" w:lineRule="exact"/>
              <w:jc w:val="center"/>
              <w:rPr>
                <w:rFonts w:hint="eastAsia" w:asciiTheme="minorEastAsia" w:hAnsiTheme="minorEastAsia" w:eastAsiaTheme="minorEastAsia" w:cstheme="minorEastAsia"/>
                <w:b/>
                <w:bCs/>
                <w:spacing w:val="6"/>
                <w:sz w:val="24"/>
                <w:szCs w:val="24"/>
                <w:shd w:val="clear" w:color="auto" w:fill="FFFFFF"/>
              </w:rPr>
            </w:pPr>
            <w:r>
              <w:rPr>
                <w:rFonts w:hint="eastAsia" w:asciiTheme="minorEastAsia" w:hAnsiTheme="minorEastAsia" w:eastAsiaTheme="minorEastAsia" w:cstheme="minorEastAsia"/>
                <w:b/>
                <w:bCs/>
                <w:spacing w:val="6"/>
                <w:sz w:val="24"/>
                <w:szCs w:val="24"/>
                <w:shd w:val="clear" w:color="auto" w:fill="FFFFFF"/>
              </w:rPr>
              <w:t>2</w:t>
            </w:r>
          </w:p>
        </w:tc>
        <w:tc>
          <w:tcPr>
            <w:tcW w:w="977" w:type="pct"/>
            <w:vAlign w:val="center"/>
          </w:tcPr>
          <w:p w14:paraId="6B4AA0EA">
            <w:pPr>
              <w:widowControl/>
              <w:spacing w:before="100" w:after="100" w:line="480"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深度风险分析和检测服务</w:t>
            </w:r>
          </w:p>
        </w:tc>
        <w:tc>
          <w:tcPr>
            <w:tcW w:w="2760" w:type="pct"/>
          </w:tcPr>
          <w:p w14:paraId="0358CC12">
            <w:pPr>
              <w:spacing w:line="360" w:lineRule="auto"/>
              <w:jc w:val="left"/>
              <w:rPr>
                <w:rStyle w:val="8"/>
                <w:rFonts w:hint="eastAsia" w:asciiTheme="minorEastAsia" w:hAnsiTheme="minorEastAsia" w:eastAsiaTheme="minorEastAsia" w:cstheme="minorEastAsia"/>
                <w:b w:val="0"/>
                <w:spacing w:val="6"/>
                <w:sz w:val="24"/>
                <w:szCs w:val="24"/>
                <w:shd w:val="clear" w:color="auto" w:fill="FFFFFF"/>
              </w:rPr>
            </w:pPr>
            <w:r>
              <w:rPr>
                <w:rStyle w:val="8"/>
                <w:rFonts w:hint="eastAsia" w:asciiTheme="minorEastAsia" w:hAnsiTheme="minorEastAsia" w:eastAsiaTheme="minorEastAsia" w:cstheme="minorEastAsia"/>
                <w:b w:val="0"/>
                <w:spacing w:val="6"/>
                <w:sz w:val="24"/>
                <w:szCs w:val="24"/>
                <w:shd w:val="clear" w:color="auto" w:fill="FFFFFF"/>
              </w:rPr>
              <w:t>1.服务内容：针对医院互联网、专网暴露资产，开展全方位深度安全检测，主动排查系统漏洞、弱口令、恶意后门、配置缺陷及各类安全隐患，深挖潜在攻击路径与安全风险，全面研判网络入侵等威胁隐患，汇总问题并制定切实可行的风险整改方案。</w:t>
            </w:r>
          </w:p>
          <w:p w14:paraId="7D1C4348">
            <w:pPr>
              <w:spacing w:line="360" w:lineRule="auto"/>
              <w:jc w:val="left"/>
              <w:rPr>
                <w:rStyle w:val="8"/>
                <w:rFonts w:hint="eastAsia" w:asciiTheme="minorEastAsia" w:hAnsiTheme="minorEastAsia" w:eastAsiaTheme="minorEastAsia" w:cstheme="minorEastAsia"/>
                <w:b w:val="0"/>
                <w:spacing w:val="6"/>
                <w:sz w:val="24"/>
                <w:szCs w:val="24"/>
                <w:shd w:val="clear" w:color="auto" w:fill="FFFFFF"/>
              </w:rPr>
            </w:pPr>
            <w:r>
              <w:rPr>
                <w:rStyle w:val="8"/>
                <w:rFonts w:hint="eastAsia" w:asciiTheme="minorEastAsia" w:hAnsiTheme="minorEastAsia" w:eastAsiaTheme="minorEastAsia" w:cstheme="minorEastAsia"/>
                <w:b w:val="0"/>
                <w:spacing w:val="6"/>
                <w:sz w:val="24"/>
                <w:szCs w:val="24"/>
                <w:shd w:val="clear" w:color="auto" w:fill="FFFFFF"/>
              </w:rPr>
              <w:t>2</w:t>
            </w:r>
            <w:r>
              <w:rPr>
                <w:rStyle w:val="8"/>
                <w:rFonts w:asciiTheme="minorEastAsia" w:hAnsiTheme="minorEastAsia" w:eastAsiaTheme="minorEastAsia" w:cstheme="minorEastAsia"/>
                <w:b w:val="0"/>
                <w:spacing w:val="6"/>
                <w:sz w:val="24"/>
                <w:szCs w:val="24"/>
                <w:shd w:val="clear" w:color="auto" w:fill="FFFFFF"/>
              </w:rPr>
              <w:t>.</w:t>
            </w:r>
            <w:r>
              <w:rPr>
                <w:rStyle w:val="8"/>
                <w:rFonts w:hint="eastAsia" w:asciiTheme="minorEastAsia" w:hAnsiTheme="minorEastAsia" w:eastAsiaTheme="minorEastAsia" w:cstheme="minorEastAsia"/>
                <w:b w:val="0"/>
                <w:spacing w:val="6"/>
                <w:sz w:val="24"/>
                <w:szCs w:val="24"/>
                <w:shd w:val="clear" w:color="auto" w:fill="FFFFFF"/>
              </w:rPr>
              <w:t>针对医院内网服务器，通过具备自主知识产权的漏洞扫描工具以本地扫描的方式进行安全扫描，协助医院掌握服务器存在的安全风险、漏洞和威胁。</w:t>
            </w:r>
          </w:p>
          <w:p w14:paraId="2F93EAEA">
            <w:pPr>
              <w:spacing w:line="360" w:lineRule="auto"/>
              <w:jc w:val="left"/>
              <w:rPr>
                <w:rStyle w:val="8"/>
                <w:rFonts w:hint="eastAsia" w:asciiTheme="minorEastAsia" w:hAnsiTheme="minorEastAsia" w:eastAsiaTheme="minorEastAsia" w:cstheme="minorEastAsia"/>
                <w:b w:val="0"/>
                <w:spacing w:val="6"/>
                <w:sz w:val="24"/>
                <w:szCs w:val="24"/>
                <w:shd w:val="clear" w:color="auto" w:fill="FFFFFF"/>
              </w:rPr>
            </w:pPr>
            <w:r>
              <w:rPr>
                <w:rStyle w:val="8"/>
                <w:rFonts w:hint="eastAsia" w:asciiTheme="minorEastAsia" w:hAnsiTheme="minorEastAsia" w:eastAsiaTheme="minorEastAsia" w:cstheme="minorEastAsia"/>
                <w:b w:val="0"/>
                <w:spacing w:val="6"/>
                <w:sz w:val="24"/>
                <w:szCs w:val="24"/>
                <w:shd w:val="clear" w:color="auto" w:fill="FFFFFF"/>
              </w:rPr>
              <w:t>3.由于医院资产数量较多、且业务连续性要求高、为降低扫描对业务的影响、扫描工具后台国产数据库需支持分布式大规模并行处理集群150个节点以上。</w:t>
            </w:r>
            <w:r>
              <w:rPr>
                <w:rStyle w:val="8"/>
                <w:rFonts w:hint="eastAsia" w:asciiTheme="minorEastAsia" w:hAnsiTheme="minorEastAsia" w:eastAsiaTheme="minorEastAsia" w:cstheme="minorEastAsia"/>
                <w:bCs/>
                <w:spacing w:val="6"/>
                <w:sz w:val="24"/>
                <w:szCs w:val="24"/>
                <w:shd w:val="clear" w:color="auto" w:fill="FFFFFF"/>
              </w:rPr>
              <w:t>（提供第三方机构出具的检验或检测报告复印件，并加盖供应商公章）</w:t>
            </w:r>
          </w:p>
          <w:p w14:paraId="549E8D64">
            <w:pPr>
              <w:spacing w:line="360" w:lineRule="auto"/>
              <w:jc w:val="left"/>
              <w:rPr>
                <w:rStyle w:val="8"/>
                <w:rFonts w:hint="eastAsia" w:asciiTheme="minorEastAsia" w:hAnsiTheme="minorEastAsia" w:eastAsiaTheme="minorEastAsia" w:cstheme="minorEastAsia"/>
                <w:b w:val="0"/>
                <w:spacing w:val="6"/>
                <w:sz w:val="24"/>
                <w:szCs w:val="24"/>
                <w:shd w:val="clear" w:color="auto" w:fill="FFFFFF"/>
              </w:rPr>
            </w:pPr>
            <w:r>
              <w:rPr>
                <w:rStyle w:val="8"/>
                <w:rFonts w:hint="eastAsia" w:asciiTheme="minorEastAsia" w:hAnsiTheme="minorEastAsia" w:eastAsiaTheme="minorEastAsia" w:cstheme="minorEastAsia"/>
                <w:b w:val="0"/>
                <w:spacing w:val="6"/>
                <w:sz w:val="24"/>
                <w:szCs w:val="24"/>
                <w:shd w:val="clear" w:color="auto" w:fill="FFFFFF"/>
              </w:rPr>
              <w:t>4.为保障漏洞扫描工具数据存储的安全性，漏洞扫描工具后台国产数据库支持AES、DES等国密SM算法等、保障漏扫数据的安全。</w:t>
            </w:r>
            <w:r>
              <w:rPr>
                <w:rStyle w:val="8"/>
                <w:rFonts w:hint="eastAsia" w:asciiTheme="minorEastAsia" w:hAnsiTheme="minorEastAsia" w:eastAsiaTheme="minorEastAsia" w:cstheme="minorEastAsia"/>
                <w:bCs/>
                <w:spacing w:val="6"/>
                <w:sz w:val="24"/>
                <w:szCs w:val="24"/>
                <w:shd w:val="clear" w:color="auto" w:fill="FFFFFF"/>
              </w:rPr>
              <w:t>（提供第三方机构出具的检验或检测报告复印件，并加盖供应商公章）</w:t>
            </w:r>
          </w:p>
          <w:p w14:paraId="00997FFF">
            <w:pPr>
              <w:spacing w:line="360" w:lineRule="auto"/>
              <w:jc w:val="left"/>
              <w:rPr>
                <w:rStyle w:val="8"/>
                <w:rFonts w:hint="eastAsia" w:asciiTheme="minorEastAsia" w:hAnsiTheme="minorEastAsia" w:eastAsiaTheme="minorEastAsia" w:cstheme="minorEastAsia"/>
                <w:b w:val="0"/>
                <w:spacing w:val="6"/>
                <w:sz w:val="24"/>
                <w:szCs w:val="24"/>
                <w:shd w:val="clear" w:color="auto" w:fill="FFFFFF"/>
              </w:rPr>
            </w:pPr>
            <w:r>
              <w:rPr>
                <w:rStyle w:val="8"/>
                <w:rFonts w:hint="eastAsia" w:asciiTheme="minorEastAsia" w:hAnsiTheme="minorEastAsia" w:eastAsiaTheme="minorEastAsia" w:cstheme="minorEastAsia"/>
                <w:b w:val="0"/>
                <w:spacing w:val="6"/>
                <w:sz w:val="24"/>
                <w:szCs w:val="24"/>
                <w:shd w:val="clear" w:color="auto" w:fill="FFFFFF"/>
              </w:rPr>
              <w:t>5.服务频率：半年一次</w:t>
            </w:r>
          </w:p>
          <w:p w14:paraId="290C18C9">
            <w:pPr>
              <w:spacing w:line="360" w:lineRule="auto"/>
              <w:jc w:val="left"/>
              <w:rPr>
                <w:rStyle w:val="8"/>
                <w:rFonts w:hint="eastAsia" w:asciiTheme="minorEastAsia" w:hAnsiTheme="minorEastAsia" w:eastAsiaTheme="minorEastAsia" w:cstheme="minorEastAsia"/>
                <w:b w:val="0"/>
                <w:spacing w:val="6"/>
                <w:sz w:val="24"/>
                <w:szCs w:val="24"/>
                <w:shd w:val="clear" w:color="auto" w:fill="FFFFFF"/>
              </w:rPr>
            </w:pPr>
            <w:r>
              <w:rPr>
                <w:rStyle w:val="8"/>
                <w:rFonts w:hint="eastAsia" w:asciiTheme="minorEastAsia" w:hAnsiTheme="minorEastAsia" w:eastAsiaTheme="minorEastAsia" w:cstheme="minorEastAsia"/>
                <w:b w:val="0"/>
                <w:spacing w:val="6"/>
                <w:sz w:val="24"/>
                <w:szCs w:val="24"/>
                <w:shd w:val="clear" w:color="auto" w:fill="FFFFFF"/>
              </w:rPr>
              <w:t>6.输出内容：《互联网及专网渗透测试报告》《服务器漏洞扫描报告》</w:t>
            </w:r>
          </w:p>
        </w:tc>
        <w:tc>
          <w:tcPr>
            <w:tcW w:w="835" w:type="pct"/>
            <w:vAlign w:val="center"/>
          </w:tcPr>
          <w:p w14:paraId="501FA086">
            <w:pPr>
              <w:spacing w:line="360" w:lineRule="auto"/>
              <w:jc w:val="center"/>
              <w:rPr>
                <w:rFonts w:hint="eastAsia" w:asciiTheme="minorEastAsia" w:hAnsiTheme="minorEastAsia" w:eastAsiaTheme="minorEastAsia" w:cstheme="minorEastAsia"/>
                <w:spacing w:val="6"/>
                <w:sz w:val="24"/>
                <w:szCs w:val="24"/>
                <w:shd w:val="clear" w:color="auto" w:fill="FFFFFF"/>
              </w:rPr>
            </w:pPr>
          </w:p>
        </w:tc>
      </w:tr>
      <w:tr w14:paraId="5C457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28" w:type="pct"/>
            <w:vAlign w:val="center"/>
          </w:tcPr>
          <w:p w14:paraId="240A865A">
            <w:pPr>
              <w:spacing w:line="360" w:lineRule="exact"/>
              <w:jc w:val="center"/>
              <w:rPr>
                <w:rFonts w:hint="eastAsia" w:asciiTheme="minorEastAsia" w:hAnsiTheme="minorEastAsia" w:eastAsiaTheme="minorEastAsia" w:cstheme="minorEastAsia"/>
                <w:b/>
                <w:bCs/>
                <w:spacing w:val="6"/>
                <w:sz w:val="24"/>
                <w:szCs w:val="24"/>
                <w:shd w:val="clear" w:color="auto" w:fill="FFFFFF"/>
              </w:rPr>
            </w:pPr>
            <w:r>
              <w:rPr>
                <w:rFonts w:hint="eastAsia" w:asciiTheme="minorEastAsia" w:hAnsiTheme="minorEastAsia" w:eastAsiaTheme="minorEastAsia" w:cstheme="minorEastAsia"/>
                <w:b/>
                <w:bCs/>
                <w:spacing w:val="6"/>
                <w:sz w:val="24"/>
                <w:szCs w:val="24"/>
                <w:shd w:val="clear" w:color="auto" w:fill="FFFFFF"/>
              </w:rPr>
              <w:t>3</w:t>
            </w:r>
          </w:p>
        </w:tc>
        <w:tc>
          <w:tcPr>
            <w:tcW w:w="977" w:type="pct"/>
            <w:vAlign w:val="center"/>
          </w:tcPr>
          <w:p w14:paraId="42D0EECE">
            <w:pPr>
              <w:widowControl/>
              <w:spacing w:before="100" w:after="100" w:line="480"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安全巡检优化服务</w:t>
            </w:r>
          </w:p>
        </w:tc>
        <w:tc>
          <w:tcPr>
            <w:tcW w:w="2760" w:type="pct"/>
          </w:tcPr>
          <w:p w14:paraId="017CE488">
            <w:pPr>
              <w:spacing w:line="360" w:lineRule="auto"/>
              <w:jc w:val="left"/>
              <w:rPr>
                <w:rStyle w:val="8"/>
                <w:rFonts w:hint="eastAsia" w:asciiTheme="minorEastAsia" w:hAnsiTheme="minorEastAsia" w:eastAsiaTheme="minorEastAsia" w:cstheme="minorEastAsia"/>
                <w:b w:val="0"/>
                <w:spacing w:val="6"/>
                <w:sz w:val="24"/>
                <w:szCs w:val="24"/>
                <w:shd w:val="clear" w:color="auto" w:fill="FFFFFF"/>
              </w:rPr>
            </w:pPr>
            <w:r>
              <w:rPr>
                <w:rStyle w:val="8"/>
                <w:rFonts w:hint="eastAsia" w:asciiTheme="minorEastAsia" w:hAnsiTheme="minorEastAsia" w:eastAsiaTheme="minorEastAsia" w:cstheme="minorEastAsia"/>
                <w:b w:val="0"/>
                <w:spacing w:val="6"/>
                <w:sz w:val="24"/>
                <w:szCs w:val="24"/>
                <w:shd w:val="clear" w:color="auto" w:fill="FFFFFF"/>
              </w:rPr>
              <w:t>1.服务内容：对医院的防火墙、入侵防御、WAF、态势感知、杀毒软件等进行安全设备策略适配性分析、全量网络日志动态分析、安全告警研判与处置协助。</w:t>
            </w:r>
          </w:p>
          <w:p w14:paraId="011EF39F">
            <w:pPr>
              <w:spacing w:line="360" w:lineRule="auto"/>
              <w:jc w:val="left"/>
              <w:rPr>
                <w:rStyle w:val="8"/>
                <w:rFonts w:hint="eastAsia" w:asciiTheme="minorEastAsia" w:hAnsiTheme="minorEastAsia" w:eastAsiaTheme="minorEastAsia" w:cstheme="minorEastAsia"/>
                <w:b w:val="0"/>
                <w:spacing w:val="6"/>
                <w:sz w:val="24"/>
                <w:szCs w:val="24"/>
                <w:shd w:val="clear" w:color="auto" w:fill="FFFFFF"/>
              </w:rPr>
            </w:pPr>
            <w:r>
              <w:rPr>
                <w:rStyle w:val="8"/>
                <w:rFonts w:hint="eastAsia" w:asciiTheme="minorEastAsia" w:hAnsiTheme="minorEastAsia" w:eastAsiaTheme="minorEastAsia" w:cstheme="minorEastAsia"/>
                <w:b w:val="0"/>
                <w:spacing w:val="6"/>
                <w:sz w:val="24"/>
                <w:szCs w:val="24"/>
                <w:shd w:val="clear" w:color="auto" w:fill="FFFFFF"/>
              </w:rPr>
              <w:t>2.服务频率：每季度一次</w:t>
            </w:r>
          </w:p>
          <w:p w14:paraId="646632F2">
            <w:pPr>
              <w:spacing w:line="360" w:lineRule="auto"/>
              <w:jc w:val="left"/>
              <w:rPr>
                <w:rStyle w:val="8"/>
                <w:rFonts w:hint="eastAsia" w:asciiTheme="minorEastAsia" w:hAnsiTheme="minorEastAsia" w:eastAsiaTheme="minorEastAsia" w:cstheme="minorEastAsia"/>
                <w:b w:val="0"/>
                <w:spacing w:val="6"/>
                <w:sz w:val="24"/>
                <w:szCs w:val="24"/>
                <w:shd w:val="clear" w:color="auto" w:fill="FFFFFF"/>
              </w:rPr>
            </w:pPr>
            <w:r>
              <w:rPr>
                <w:rStyle w:val="8"/>
                <w:rFonts w:hint="eastAsia" w:asciiTheme="minorEastAsia" w:hAnsiTheme="minorEastAsia" w:eastAsiaTheme="minorEastAsia" w:cstheme="minorEastAsia"/>
                <w:b w:val="0"/>
                <w:spacing w:val="6"/>
                <w:sz w:val="24"/>
                <w:szCs w:val="24"/>
                <w:shd w:val="clear" w:color="auto" w:fill="FFFFFF"/>
              </w:rPr>
              <w:t>3.输出内容：《安全巡检优化报告》</w:t>
            </w:r>
          </w:p>
        </w:tc>
        <w:tc>
          <w:tcPr>
            <w:tcW w:w="835" w:type="pct"/>
            <w:vAlign w:val="center"/>
          </w:tcPr>
          <w:p w14:paraId="3FBD4D26">
            <w:pPr>
              <w:spacing w:line="360" w:lineRule="auto"/>
              <w:jc w:val="center"/>
              <w:rPr>
                <w:rFonts w:hint="eastAsia" w:asciiTheme="minorEastAsia" w:hAnsiTheme="minorEastAsia" w:eastAsiaTheme="minorEastAsia" w:cstheme="minorEastAsia"/>
                <w:spacing w:val="6"/>
                <w:sz w:val="24"/>
                <w:szCs w:val="24"/>
                <w:shd w:val="clear" w:color="auto" w:fill="FFFFFF"/>
              </w:rPr>
            </w:pPr>
          </w:p>
        </w:tc>
      </w:tr>
      <w:tr w14:paraId="58FB1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28" w:type="pct"/>
            <w:vAlign w:val="center"/>
          </w:tcPr>
          <w:p w14:paraId="41167B40">
            <w:pPr>
              <w:spacing w:line="360" w:lineRule="exact"/>
              <w:jc w:val="center"/>
              <w:rPr>
                <w:rFonts w:hint="eastAsia" w:asciiTheme="minorEastAsia" w:hAnsiTheme="minorEastAsia" w:eastAsiaTheme="minorEastAsia" w:cstheme="minorEastAsia"/>
                <w:b/>
                <w:bCs/>
                <w:spacing w:val="6"/>
                <w:sz w:val="24"/>
                <w:szCs w:val="24"/>
                <w:shd w:val="clear" w:color="auto" w:fill="FFFFFF"/>
              </w:rPr>
            </w:pPr>
            <w:r>
              <w:rPr>
                <w:rFonts w:hint="eastAsia" w:asciiTheme="minorEastAsia" w:hAnsiTheme="minorEastAsia" w:eastAsiaTheme="minorEastAsia" w:cstheme="minorEastAsia"/>
                <w:b/>
                <w:bCs/>
                <w:spacing w:val="6"/>
                <w:sz w:val="24"/>
                <w:szCs w:val="24"/>
                <w:shd w:val="clear" w:color="auto" w:fill="FFFFFF"/>
              </w:rPr>
              <w:t>4</w:t>
            </w:r>
          </w:p>
        </w:tc>
        <w:tc>
          <w:tcPr>
            <w:tcW w:w="977" w:type="pct"/>
            <w:vAlign w:val="center"/>
          </w:tcPr>
          <w:p w14:paraId="16832F3A">
            <w:pPr>
              <w:widowControl/>
              <w:spacing w:before="100" w:after="100" w:line="480"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网络安全培训服务</w:t>
            </w:r>
          </w:p>
        </w:tc>
        <w:tc>
          <w:tcPr>
            <w:tcW w:w="2760" w:type="pct"/>
          </w:tcPr>
          <w:p w14:paraId="0E62ECA4">
            <w:pPr>
              <w:spacing w:line="360" w:lineRule="auto"/>
              <w:jc w:val="left"/>
              <w:rPr>
                <w:rStyle w:val="8"/>
                <w:rFonts w:hint="eastAsia" w:asciiTheme="minorEastAsia" w:hAnsiTheme="minorEastAsia" w:eastAsiaTheme="minorEastAsia" w:cstheme="minorEastAsia"/>
                <w:b w:val="0"/>
                <w:spacing w:val="6"/>
                <w:sz w:val="24"/>
                <w:szCs w:val="24"/>
                <w:shd w:val="clear" w:color="auto" w:fill="FFFFFF"/>
              </w:rPr>
            </w:pPr>
            <w:r>
              <w:rPr>
                <w:rStyle w:val="8"/>
                <w:rFonts w:hint="eastAsia" w:asciiTheme="minorEastAsia" w:hAnsiTheme="minorEastAsia" w:eastAsiaTheme="minorEastAsia" w:cstheme="minorEastAsia"/>
                <w:b w:val="0"/>
                <w:spacing w:val="6"/>
                <w:sz w:val="24"/>
                <w:szCs w:val="24"/>
                <w:shd w:val="clear" w:color="auto" w:fill="FFFFFF"/>
              </w:rPr>
              <w:t>1.服务内容：根据医院需求，分岗位定制培训课程，运维人员重点培训网络设备安全配置、医疗系统漏洞防护、应急处置实操；医护人员重点培训信息安全意识、患者隐私数据保护规范、办公设备安全使用；行政人员重点培训公文传输安全、账号密码管理、钓鱼邮件识别，覆盖全员安全防护要点与医疗行业信息安全合规要求。</w:t>
            </w:r>
          </w:p>
          <w:p w14:paraId="041D05D5">
            <w:pPr>
              <w:spacing w:line="360" w:lineRule="auto"/>
              <w:jc w:val="left"/>
              <w:rPr>
                <w:rStyle w:val="8"/>
                <w:rFonts w:hint="eastAsia" w:asciiTheme="minorEastAsia" w:hAnsiTheme="minorEastAsia" w:eastAsiaTheme="minorEastAsia" w:cstheme="minorEastAsia"/>
                <w:b w:val="0"/>
                <w:spacing w:val="6"/>
                <w:sz w:val="24"/>
                <w:szCs w:val="24"/>
                <w:shd w:val="clear" w:color="auto" w:fill="FFFFFF"/>
              </w:rPr>
            </w:pPr>
            <w:r>
              <w:rPr>
                <w:rStyle w:val="8"/>
                <w:rFonts w:hint="eastAsia" w:asciiTheme="minorEastAsia" w:hAnsiTheme="minorEastAsia" w:eastAsiaTheme="minorEastAsia" w:cstheme="minorEastAsia"/>
                <w:b w:val="0"/>
                <w:spacing w:val="6"/>
                <w:sz w:val="24"/>
                <w:szCs w:val="24"/>
                <w:shd w:val="clear" w:color="auto" w:fill="FFFFFF"/>
              </w:rPr>
              <w:t>2.服务频率：每年一次</w:t>
            </w:r>
          </w:p>
          <w:p w14:paraId="41B789E7">
            <w:pPr>
              <w:spacing w:line="360" w:lineRule="auto"/>
              <w:jc w:val="left"/>
              <w:rPr>
                <w:rStyle w:val="8"/>
                <w:rFonts w:hint="eastAsia" w:asciiTheme="minorEastAsia" w:hAnsiTheme="minorEastAsia" w:eastAsiaTheme="minorEastAsia" w:cstheme="minorEastAsia"/>
                <w:b w:val="0"/>
                <w:spacing w:val="6"/>
                <w:sz w:val="24"/>
                <w:szCs w:val="24"/>
                <w:shd w:val="clear" w:color="auto" w:fill="FFFFFF"/>
              </w:rPr>
            </w:pPr>
            <w:r>
              <w:rPr>
                <w:rStyle w:val="8"/>
                <w:rFonts w:hint="eastAsia" w:asciiTheme="minorEastAsia" w:hAnsiTheme="minorEastAsia" w:eastAsiaTheme="minorEastAsia" w:cstheme="minorEastAsia"/>
                <w:b w:val="0"/>
                <w:spacing w:val="6"/>
                <w:sz w:val="24"/>
                <w:szCs w:val="24"/>
                <w:shd w:val="clear" w:color="auto" w:fill="FFFFFF"/>
              </w:rPr>
              <w:t>3.输出内容：《安全培训记录表》《安全培训课件》</w:t>
            </w:r>
          </w:p>
        </w:tc>
        <w:tc>
          <w:tcPr>
            <w:tcW w:w="835" w:type="pct"/>
            <w:vAlign w:val="center"/>
          </w:tcPr>
          <w:p w14:paraId="393247D9">
            <w:pPr>
              <w:spacing w:line="360" w:lineRule="auto"/>
              <w:jc w:val="center"/>
              <w:rPr>
                <w:rFonts w:hint="eastAsia" w:asciiTheme="minorEastAsia" w:hAnsiTheme="minorEastAsia" w:eastAsiaTheme="minorEastAsia" w:cstheme="minorEastAsia"/>
                <w:spacing w:val="6"/>
                <w:sz w:val="24"/>
                <w:szCs w:val="24"/>
                <w:shd w:val="clear" w:color="auto" w:fill="FFFFFF"/>
              </w:rPr>
            </w:pPr>
          </w:p>
        </w:tc>
      </w:tr>
      <w:tr w14:paraId="0C9B5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28" w:type="pct"/>
            <w:vAlign w:val="center"/>
          </w:tcPr>
          <w:p w14:paraId="222BFBD9">
            <w:pPr>
              <w:spacing w:line="360" w:lineRule="exact"/>
              <w:jc w:val="center"/>
              <w:rPr>
                <w:rFonts w:hint="eastAsia" w:asciiTheme="minorEastAsia" w:hAnsiTheme="minorEastAsia" w:eastAsiaTheme="minorEastAsia" w:cstheme="minorEastAsia"/>
                <w:b/>
                <w:bCs/>
                <w:spacing w:val="6"/>
                <w:sz w:val="24"/>
                <w:szCs w:val="24"/>
                <w:shd w:val="clear" w:color="auto" w:fill="FFFFFF"/>
              </w:rPr>
            </w:pPr>
            <w:r>
              <w:rPr>
                <w:rFonts w:hint="eastAsia" w:asciiTheme="minorEastAsia" w:hAnsiTheme="minorEastAsia" w:eastAsiaTheme="minorEastAsia" w:cstheme="minorEastAsia"/>
                <w:b/>
                <w:bCs/>
                <w:spacing w:val="6"/>
                <w:sz w:val="24"/>
                <w:szCs w:val="24"/>
                <w:shd w:val="clear" w:color="auto" w:fill="FFFFFF"/>
              </w:rPr>
              <w:t>5</w:t>
            </w:r>
          </w:p>
        </w:tc>
        <w:tc>
          <w:tcPr>
            <w:tcW w:w="977" w:type="pct"/>
            <w:vAlign w:val="center"/>
          </w:tcPr>
          <w:p w14:paraId="0C6988E1">
            <w:pPr>
              <w:widowControl/>
              <w:spacing w:before="100" w:after="100" w:line="480"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网络安全应急响应服务</w:t>
            </w:r>
          </w:p>
        </w:tc>
        <w:tc>
          <w:tcPr>
            <w:tcW w:w="2760" w:type="pct"/>
          </w:tcPr>
          <w:p w14:paraId="5AFD7BB3">
            <w:pPr>
              <w:spacing w:line="360" w:lineRule="auto"/>
              <w:jc w:val="left"/>
              <w:rPr>
                <w:rStyle w:val="8"/>
                <w:rFonts w:hint="eastAsia" w:asciiTheme="minorEastAsia" w:hAnsiTheme="minorEastAsia" w:eastAsiaTheme="minorEastAsia" w:cstheme="minorEastAsia"/>
                <w:b w:val="0"/>
                <w:spacing w:val="6"/>
                <w:sz w:val="24"/>
                <w:szCs w:val="24"/>
                <w:shd w:val="clear" w:color="auto" w:fill="FFFFFF"/>
              </w:rPr>
            </w:pPr>
            <w:r>
              <w:rPr>
                <w:rStyle w:val="8"/>
                <w:rFonts w:hint="eastAsia" w:asciiTheme="minorEastAsia" w:hAnsiTheme="minorEastAsia" w:eastAsiaTheme="minorEastAsia" w:cstheme="minorEastAsia"/>
                <w:b w:val="0"/>
                <w:spacing w:val="6"/>
                <w:sz w:val="24"/>
                <w:szCs w:val="24"/>
                <w:shd w:val="clear" w:color="auto" w:fill="FFFFFF"/>
              </w:rPr>
              <w:t>1.服务内容：为医院提供7×24小时远程+现场应急响应，针对医院突发安全事件（如勒索病毒入侵加密医疗数据、患者隐私数据泄露、核心诊疗系统瘫痪、网络攻击导致挂号缴费系统故障等），快速开展攻击溯源定位、威胁隔离阻断、漏洞紧急封堵、数据恢复、系统修复与重启，同步协助完成事件调查取证、上报及后续防护加固。</w:t>
            </w:r>
          </w:p>
          <w:p w14:paraId="38A3266A">
            <w:pPr>
              <w:spacing w:line="360" w:lineRule="auto"/>
              <w:jc w:val="left"/>
              <w:rPr>
                <w:rStyle w:val="8"/>
                <w:rFonts w:hint="eastAsia" w:asciiTheme="minorEastAsia" w:hAnsiTheme="minorEastAsia" w:eastAsiaTheme="minorEastAsia" w:cstheme="minorEastAsia"/>
                <w:b w:val="0"/>
                <w:spacing w:val="6"/>
                <w:sz w:val="24"/>
                <w:szCs w:val="24"/>
                <w:shd w:val="clear" w:color="auto" w:fill="FFFFFF"/>
              </w:rPr>
            </w:pPr>
            <w:r>
              <w:rPr>
                <w:rStyle w:val="8"/>
                <w:rFonts w:hint="eastAsia" w:asciiTheme="minorEastAsia" w:hAnsiTheme="minorEastAsia" w:eastAsiaTheme="minorEastAsia" w:cstheme="minorEastAsia"/>
                <w:b w:val="0"/>
                <w:spacing w:val="6"/>
                <w:sz w:val="24"/>
                <w:szCs w:val="24"/>
                <w:shd w:val="clear" w:color="auto" w:fill="FFFFFF"/>
              </w:rPr>
              <w:t>2.服务频率：按需服务，第一时间（五分钟内）远程响应，确定事件性质，如需到场，90分钟内到场。</w:t>
            </w:r>
            <w:r>
              <w:rPr>
                <w:rStyle w:val="8"/>
                <w:rFonts w:hint="eastAsia" w:asciiTheme="minorEastAsia" w:hAnsiTheme="minorEastAsia" w:eastAsiaTheme="minorEastAsia" w:cstheme="minorEastAsia"/>
                <w:bCs/>
                <w:spacing w:val="6"/>
                <w:sz w:val="24"/>
                <w:szCs w:val="24"/>
                <w:shd w:val="clear" w:color="auto" w:fill="FFFFFF"/>
              </w:rPr>
              <w:t>（提供承诺函并加盖供应商公章）</w:t>
            </w:r>
          </w:p>
          <w:p w14:paraId="47B4D96F">
            <w:pPr>
              <w:spacing w:line="360" w:lineRule="auto"/>
              <w:jc w:val="left"/>
              <w:rPr>
                <w:rStyle w:val="8"/>
                <w:rFonts w:hint="eastAsia" w:asciiTheme="minorEastAsia" w:hAnsiTheme="minorEastAsia" w:eastAsiaTheme="minorEastAsia" w:cstheme="minorEastAsia"/>
                <w:b w:val="0"/>
                <w:spacing w:val="6"/>
                <w:sz w:val="24"/>
                <w:szCs w:val="24"/>
                <w:shd w:val="clear" w:color="auto" w:fill="FFFFFF"/>
              </w:rPr>
            </w:pPr>
            <w:r>
              <w:rPr>
                <w:rStyle w:val="8"/>
                <w:rFonts w:hint="eastAsia" w:asciiTheme="minorEastAsia" w:hAnsiTheme="minorEastAsia" w:eastAsiaTheme="minorEastAsia" w:cstheme="minorEastAsia"/>
                <w:b w:val="0"/>
                <w:spacing w:val="6"/>
                <w:sz w:val="24"/>
                <w:szCs w:val="24"/>
                <w:shd w:val="clear" w:color="auto" w:fill="FFFFFF"/>
              </w:rPr>
              <w:t>3.输出内容：《应急响应报告》</w:t>
            </w:r>
          </w:p>
        </w:tc>
        <w:tc>
          <w:tcPr>
            <w:tcW w:w="835" w:type="pct"/>
            <w:vAlign w:val="center"/>
          </w:tcPr>
          <w:p w14:paraId="00064BEC">
            <w:pPr>
              <w:spacing w:line="360" w:lineRule="auto"/>
              <w:jc w:val="center"/>
              <w:rPr>
                <w:rFonts w:hint="eastAsia" w:asciiTheme="minorEastAsia" w:hAnsiTheme="minorEastAsia" w:eastAsiaTheme="minorEastAsia" w:cstheme="minorEastAsia"/>
                <w:spacing w:val="6"/>
                <w:sz w:val="24"/>
                <w:szCs w:val="24"/>
                <w:shd w:val="clear" w:color="auto" w:fill="FFFFFF"/>
              </w:rPr>
            </w:pPr>
          </w:p>
        </w:tc>
      </w:tr>
    </w:tbl>
    <w:p w14:paraId="6361BF27">
      <w:pPr>
        <w:spacing w:line="460" w:lineRule="exact"/>
        <w:rPr>
          <w:rFonts w:hint="eastAsia" w:ascii="方正仿宋简体" w:hAnsi="方正仿宋简体" w:eastAsia="方正仿宋简体" w:cs="方正仿宋简体"/>
          <w:b/>
          <w:bCs/>
          <w:kern w:val="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F4856C49-FE1E-408E-8C10-4EEB9CE83A0D}"/>
  </w:font>
  <w:font w:name="宋体">
    <w:panose1 w:val="02010600030101010101"/>
    <w:charset w:val="86"/>
    <w:family w:val="auto"/>
    <w:pitch w:val="default"/>
    <w:sig w:usb0="00000203" w:usb1="288F0000" w:usb2="00000006" w:usb3="00000000" w:csb0="00040001" w:csb1="00000000"/>
    <w:embedRegular r:id="rId2" w:fontKey="{F89D9C73-8442-49EB-B56A-910B95155898}"/>
  </w:font>
  <w:font w:name="Wingdings">
    <w:panose1 w:val="05000000000000000000"/>
    <w:charset w:val="02"/>
    <w:family w:val="auto"/>
    <w:pitch w:val="default"/>
    <w:sig w:usb0="00000000" w:usb1="00000000" w:usb2="00000000" w:usb3="00000000" w:csb0="80000000" w:csb1="00000000"/>
    <w:embedRegular r:id="rId3" w:fontKey="{1758186A-1C7F-4168-81F5-F3D3DE8986AE}"/>
  </w:font>
  <w:font w:name="Arial">
    <w:panose1 w:val="020B0604020202020204"/>
    <w:charset w:val="01"/>
    <w:family w:val="swiss"/>
    <w:pitch w:val="default"/>
    <w:sig w:usb0="E0002EFF" w:usb1="C000785B" w:usb2="00000009" w:usb3="00000000" w:csb0="400001FF" w:csb1="FFFF0000"/>
    <w:embedRegular r:id="rId4" w:fontKey="{1880B61B-168D-49AC-963A-6FAA9161FB04}"/>
  </w:font>
  <w:font w:name="黑体">
    <w:panose1 w:val="02010609060101010101"/>
    <w:charset w:val="86"/>
    <w:family w:val="auto"/>
    <w:pitch w:val="default"/>
    <w:sig w:usb0="800002BF" w:usb1="38CF7CFA" w:usb2="00000016" w:usb3="00000000" w:csb0="00040001" w:csb1="00000000"/>
    <w:embedRegular r:id="rId5" w:fontKey="{414CBFBB-1C35-438A-BDDE-73CF80BFFFD9}"/>
  </w:font>
  <w:font w:name="Courier New">
    <w:panose1 w:val="02070309020205020404"/>
    <w:charset w:val="01"/>
    <w:family w:val="modern"/>
    <w:pitch w:val="default"/>
    <w:sig w:usb0="E0002EFF" w:usb1="C0007843" w:usb2="00000009" w:usb3="00000000" w:csb0="400001FF" w:csb1="FFFF0000"/>
    <w:embedRegular r:id="rId6" w:fontKey="{2E0E57CE-B926-4ED1-9EAD-7C34D54BBE66}"/>
  </w:font>
  <w:font w:name="Symbol">
    <w:panose1 w:val="05050102010706020507"/>
    <w:charset w:val="02"/>
    <w:family w:val="roman"/>
    <w:pitch w:val="default"/>
    <w:sig w:usb0="00000000" w:usb1="00000000" w:usb2="00000000" w:usb3="00000000" w:csb0="80000000" w:csb1="00000000"/>
    <w:embedRegular r:id="rId7" w:fontKey="{A0547F30-581E-45C5-B29E-4ED8C26D5F31}"/>
  </w:font>
  <w:font w:name="Calibri">
    <w:panose1 w:val="020F0502020204030204"/>
    <w:charset w:val="00"/>
    <w:family w:val="swiss"/>
    <w:pitch w:val="default"/>
    <w:sig w:usb0="E4002EFF" w:usb1="C000247B" w:usb2="00000009" w:usb3="00000000" w:csb0="200001FF" w:csb1="00000000"/>
    <w:embedRegular r:id="rId8" w:fontKey="{1B611D82-E8C2-43D1-BBF5-249FA4A6C459}"/>
  </w:font>
  <w:font w:name="Arial">
    <w:panose1 w:val="020B0604020202020204"/>
    <w:charset w:val="00"/>
    <w:family w:val="swiss"/>
    <w:pitch w:val="default"/>
    <w:sig w:usb0="E0002EFF" w:usb1="C000785B" w:usb2="00000009" w:usb3="00000000" w:csb0="400001FF" w:csb1="FFFF0000"/>
    <w:embedRegular r:id="rId9" w:fontKey="{D2A331EF-40B6-4347-8ACB-0F99D925A1F1}"/>
  </w:font>
  <w:font w:name="仿宋_GB2312">
    <w:altName w:val="仿宋"/>
    <w:panose1 w:val="02010609030101010101"/>
    <w:charset w:val="86"/>
    <w:family w:val="modern"/>
    <w:pitch w:val="default"/>
    <w:sig w:usb0="00000000" w:usb1="00000000" w:usb2="00000010" w:usb3="00000000" w:csb0="00040000" w:csb1="00000000"/>
  </w:font>
  <w:font w:name="FangSong_GB2312">
    <w:altName w:val="仿宋"/>
    <w:panose1 w:val="00000000000000000000"/>
    <w:charset w:val="00"/>
    <w:family w:val="auto"/>
    <w:pitch w:val="default"/>
    <w:sig w:usb0="00000000" w:usb1="00000000" w:usb2="00000000" w:usb3="00000000" w:csb0="00000000" w:csb1="00000000"/>
  </w:font>
  <w:font w:name="方正仿宋简体">
    <w:altName w:val="微软雅黑"/>
    <w:panose1 w:val="00000000000000000000"/>
    <w:charset w:val="86"/>
    <w:family w:val="auto"/>
    <w:pitch w:val="default"/>
    <w:sig w:usb0="00000000" w:usb1="00000000" w:usb2="00000012" w:usb3="00000000" w:csb0="00040001" w:csb1="00000000"/>
    <w:embedRegular r:id="rId10" w:fontKey="{38BEA2CE-5695-4C47-BD79-5DD8B5BC7DCA}"/>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8E2718"/>
    <w:multiLevelType w:val="singleLevel"/>
    <w:tmpl w:val="818E2718"/>
    <w:lvl w:ilvl="0" w:tentative="0">
      <w:start w:val="1"/>
      <w:numFmt w:val="chineseCounting"/>
      <w:suff w:val="nothing"/>
      <w:lvlText w:val="%1、"/>
      <w:lvlJc w:val="left"/>
      <w:pPr>
        <w:ind w:left="0" w:firstLine="4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TrueTypeFonts/>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xNGQ1YzM5YTQzYTBlNmRlOGVmYWY4M2Y3ZDBiM2QifQ=="/>
  </w:docVars>
  <w:rsids>
    <w:rsidRoot w:val="7E27033D"/>
    <w:rsid w:val="00003028"/>
    <w:rsid w:val="00003A44"/>
    <w:rsid w:val="00006BE4"/>
    <w:rsid w:val="00011BD8"/>
    <w:rsid w:val="00011DD7"/>
    <w:rsid w:val="000372F6"/>
    <w:rsid w:val="00040AFB"/>
    <w:rsid w:val="00043B03"/>
    <w:rsid w:val="00057A62"/>
    <w:rsid w:val="000829FD"/>
    <w:rsid w:val="0008425B"/>
    <w:rsid w:val="000867EF"/>
    <w:rsid w:val="000958A7"/>
    <w:rsid w:val="000A1549"/>
    <w:rsid w:val="000A6BC1"/>
    <w:rsid w:val="000C20D5"/>
    <w:rsid w:val="000C6F84"/>
    <w:rsid w:val="000E3EA8"/>
    <w:rsid w:val="000E6752"/>
    <w:rsid w:val="000F21CD"/>
    <w:rsid w:val="00101032"/>
    <w:rsid w:val="00101838"/>
    <w:rsid w:val="00121735"/>
    <w:rsid w:val="00124711"/>
    <w:rsid w:val="00126A00"/>
    <w:rsid w:val="00131C2C"/>
    <w:rsid w:val="001361E0"/>
    <w:rsid w:val="001544C4"/>
    <w:rsid w:val="001640DE"/>
    <w:rsid w:val="0017077D"/>
    <w:rsid w:val="00173CD3"/>
    <w:rsid w:val="00180620"/>
    <w:rsid w:val="001A0338"/>
    <w:rsid w:val="001A3B5B"/>
    <w:rsid w:val="001A60A8"/>
    <w:rsid w:val="001C4CC2"/>
    <w:rsid w:val="001D3373"/>
    <w:rsid w:val="001E497E"/>
    <w:rsid w:val="001E7350"/>
    <w:rsid w:val="001F5940"/>
    <w:rsid w:val="001F6AE3"/>
    <w:rsid w:val="00220FD1"/>
    <w:rsid w:val="00235FE9"/>
    <w:rsid w:val="0024372A"/>
    <w:rsid w:val="002448F1"/>
    <w:rsid w:val="00245C27"/>
    <w:rsid w:val="00250B0C"/>
    <w:rsid w:val="00257758"/>
    <w:rsid w:val="00260B6A"/>
    <w:rsid w:val="00264079"/>
    <w:rsid w:val="0027200A"/>
    <w:rsid w:val="00275A69"/>
    <w:rsid w:val="00282358"/>
    <w:rsid w:val="0028464A"/>
    <w:rsid w:val="0029227D"/>
    <w:rsid w:val="00292CFC"/>
    <w:rsid w:val="002A0498"/>
    <w:rsid w:val="002A692E"/>
    <w:rsid w:val="002B330A"/>
    <w:rsid w:val="002B6E3F"/>
    <w:rsid w:val="002C394A"/>
    <w:rsid w:val="002D35D3"/>
    <w:rsid w:val="002D593C"/>
    <w:rsid w:val="002D716F"/>
    <w:rsid w:val="002E1AF8"/>
    <w:rsid w:val="002E531E"/>
    <w:rsid w:val="00300FB2"/>
    <w:rsid w:val="003056C7"/>
    <w:rsid w:val="00312AD6"/>
    <w:rsid w:val="00315E43"/>
    <w:rsid w:val="003176C3"/>
    <w:rsid w:val="00317F69"/>
    <w:rsid w:val="00330270"/>
    <w:rsid w:val="003362E3"/>
    <w:rsid w:val="00336EB1"/>
    <w:rsid w:val="0034016E"/>
    <w:rsid w:val="0034157A"/>
    <w:rsid w:val="00350FFA"/>
    <w:rsid w:val="003510F5"/>
    <w:rsid w:val="00355CA3"/>
    <w:rsid w:val="0036732D"/>
    <w:rsid w:val="003675F8"/>
    <w:rsid w:val="0037195E"/>
    <w:rsid w:val="00382F58"/>
    <w:rsid w:val="003843F9"/>
    <w:rsid w:val="0038532F"/>
    <w:rsid w:val="00387470"/>
    <w:rsid w:val="00387C29"/>
    <w:rsid w:val="003967C5"/>
    <w:rsid w:val="003A10E3"/>
    <w:rsid w:val="003A4210"/>
    <w:rsid w:val="003A4B7E"/>
    <w:rsid w:val="003C01FA"/>
    <w:rsid w:val="003E736D"/>
    <w:rsid w:val="003F0E60"/>
    <w:rsid w:val="00400F2C"/>
    <w:rsid w:val="00416EF3"/>
    <w:rsid w:val="00427262"/>
    <w:rsid w:val="00430F74"/>
    <w:rsid w:val="00440BB6"/>
    <w:rsid w:val="004460D3"/>
    <w:rsid w:val="00455A66"/>
    <w:rsid w:val="00455E1F"/>
    <w:rsid w:val="004563C0"/>
    <w:rsid w:val="00465473"/>
    <w:rsid w:val="004676F4"/>
    <w:rsid w:val="00476D64"/>
    <w:rsid w:val="0048189C"/>
    <w:rsid w:val="00487826"/>
    <w:rsid w:val="004929AB"/>
    <w:rsid w:val="004A0376"/>
    <w:rsid w:val="004A147A"/>
    <w:rsid w:val="004A32DA"/>
    <w:rsid w:val="004A6AC8"/>
    <w:rsid w:val="004B4168"/>
    <w:rsid w:val="004B4BF0"/>
    <w:rsid w:val="004D3F82"/>
    <w:rsid w:val="004D6ABD"/>
    <w:rsid w:val="004E23AA"/>
    <w:rsid w:val="004E38BB"/>
    <w:rsid w:val="004F104B"/>
    <w:rsid w:val="005000E5"/>
    <w:rsid w:val="005017E4"/>
    <w:rsid w:val="00503503"/>
    <w:rsid w:val="00517163"/>
    <w:rsid w:val="00517A16"/>
    <w:rsid w:val="00517B43"/>
    <w:rsid w:val="00523AF2"/>
    <w:rsid w:val="00530253"/>
    <w:rsid w:val="00545A7D"/>
    <w:rsid w:val="00563769"/>
    <w:rsid w:val="00563878"/>
    <w:rsid w:val="005642AA"/>
    <w:rsid w:val="00570D07"/>
    <w:rsid w:val="00591BED"/>
    <w:rsid w:val="00592BFD"/>
    <w:rsid w:val="005A41D3"/>
    <w:rsid w:val="005B501E"/>
    <w:rsid w:val="005C770E"/>
    <w:rsid w:val="005D3D59"/>
    <w:rsid w:val="005D4C82"/>
    <w:rsid w:val="005E2230"/>
    <w:rsid w:val="005E30DE"/>
    <w:rsid w:val="005E4C82"/>
    <w:rsid w:val="005E6EF0"/>
    <w:rsid w:val="005F06D8"/>
    <w:rsid w:val="005F3ECD"/>
    <w:rsid w:val="005F60CE"/>
    <w:rsid w:val="00611A44"/>
    <w:rsid w:val="00613BB1"/>
    <w:rsid w:val="00616E58"/>
    <w:rsid w:val="00623CD2"/>
    <w:rsid w:val="00627851"/>
    <w:rsid w:val="00631EA2"/>
    <w:rsid w:val="00641AE0"/>
    <w:rsid w:val="00652296"/>
    <w:rsid w:val="006618A2"/>
    <w:rsid w:val="00665D84"/>
    <w:rsid w:val="00667C10"/>
    <w:rsid w:val="0067097C"/>
    <w:rsid w:val="006875E0"/>
    <w:rsid w:val="006919E0"/>
    <w:rsid w:val="006A696E"/>
    <w:rsid w:val="006B2701"/>
    <w:rsid w:val="006B3745"/>
    <w:rsid w:val="006B6E40"/>
    <w:rsid w:val="006C2260"/>
    <w:rsid w:val="006C3904"/>
    <w:rsid w:val="006C3DCD"/>
    <w:rsid w:val="006C689B"/>
    <w:rsid w:val="006C7260"/>
    <w:rsid w:val="006D25B2"/>
    <w:rsid w:val="006D6F0D"/>
    <w:rsid w:val="006E5548"/>
    <w:rsid w:val="006E726E"/>
    <w:rsid w:val="006F5AF2"/>
    <w:rsid w:val="006F77D1"/>
    <w:rsid w:val="00712139"/>
    <w:rsid w:val="00713AB2"/>
    <w:rsid w:val="0071517D"/>
    <w:rsid w:val="007153D7"/>
    <w:rsid w:val="007209B8"/>
    <w:rsid w:val="00726F61"/>
    <w:rsid w:val="007324BF"/>
    <w:rsid w:val="00733678"/>
    <w:rsid w:val="00746972"/>
    <w:rsid w:val="007503FD"/>
    <w:rsid w:val="00753492"/>
    <w:rsid w:val="0076232D"/>
    <w:rsid w:val="00775F1C"/>
    <w:rsid w:val="00790FCB"/>
    <w:rsid w:val="007A1528"/>
    <w:rsid w:val="007A1E80"/>
    <w:rsid w:val="007B677F"/>
    <w:rsid w:val="007C50F7"/>
    <w:rsid w:val="007C7133"/>
    <w:rsid w:val="007D4F12"/>
    <w:rsid w:val="007F34F7"/>
    <w:rsid w:val="008021A9"/>
    <w:rsid w:val="0080488F"/>
    <w:rsid w:val="00815D6C"/>
    <w:rsid w:val="008160B7"/>
    <w:rsid w:val="00824516"/>
    <w:rsid w:val="00831957"/>
    <w:rsid w:val="008365B2"/>
    <w:rsid w:val="008433F1"/>
    <w:rsid w:val="00854EC1"/>
    <w:rsid w:val="00873025"/>
    <w:rsid w:val="0087387B"/>
    <w:rsid w:val="00891038"/>
    <w:rsid w:val="008A100A"/>
    <w:rsid w:val="008B2211"/>
    <w:rsid w:val="008B2CD4"/>
    <w:rsid w:val="008B4C1A"/>
    <w:rsid w:val="008B5045"/>
    <w:rsid w:val="008C4F94"/>
    <w:rsid w:val="008C5FFE"/>
    <w:rsid w:val="008D6927"/>
    <w:rsid w:val="008D6997"/>
    <w:rsid w:val="008E6F79"/>
    <w:rsid w:val="008E71F5"/>
    <w:rsid w:val="008F28A8"/>
    <w:rsid w:val="00907FDE"/>
    <w:rsid w:val="009147AF"/>
    <w:rsid w:val="009150AF"/>
    <w:rsid w:val="0091645C"/>
    <w:rsid w:val="00927084"/>
    <w:rsid w:val="00930314"/>
    <w:rsid w:val="00930C0E"/>
    <w:rsid w:val="00930DF1"/>
    <w:rsid w:val="009345EC"/>
    <w:rsid w:val="0093698C"/>
    <w:rsid w:val="00937E4A"/>
    <w:rsid w:val="0094371A"/>
    <w:rsid w:val="00945FF2"/>
    <w:rsid w:val="009503DD"/>
    <w:rsid w:val="00957A1C"/>
    <w:rsid w:val="00980555"/>
    <w:rsid w:val="00981ED3"/>
    <w:rsid w:val="00987AEE"/>
    <w:rsid w:val="009A4C4B"/>
    <w:rsid w:val="009B6F89"/>
    <w:rsid w:val="009D1F4C"/>
    <w:rsid w:val="009E5031"/>
    <w:rsid w:val="009F2B26"/>
    <w:rsid w:val="009F5314"/>
    <w:rsid w:val="009F5D6A"/>
    <w:rsid w:val="009F773F"/>
    <w:rsid w:val="00A02FD2"/>
    <w:rsid w:val="00A146AB"/>
    <w:rsid w:val="00A16684"/>
    <w:rsid w:val="00A25DD4"/>
    <w:rsid w:val="00A266D8"/>
    <w:rsid w:val="00A27CDB"/>
    <w:rsid w:val="00A43486"/>
    <w:rsid w:val="00A60E7E"/>
    <w:rsid w:val="00A61353"/>
    <w:rsid w:val="00A67177"/>
    <w:rsid w:val="00A71F75"/>
    <w:rsid w:val="00A8247D"/>
    <w:rsid w:val="00A85129"/>
    <w:rsid w:val="00A91D00"/>
    <w:rsid w:val="00A974A7"/>
    <w:rsid w:val="00AA357B"/>
    <w:rsid w:val="00AA45A7"/>
    <w:rsid w:val="00AB3DBB"/>
    <w:rsid w:val="00AB69B8"/>
    <w:rsid w:val="00AC5B2E"/>
    <w:rsid w:val="00AC62B3"/>
    <w:rsid w:val="00AD326F"/>
    <w:rsid w:val="00AF0C6E"/>
    <w:rsid w:val="00AF1D6B"/>
    <w:rsid w:val="00AF3716"/>
    <w:rsid w:val="00AF43D0"/>
    <w:rsid w:val="00B16E68"/>
    <w:rsid w:val="00B20AD9"/>
    <w:rsid w:val="00B20F0E"/>
    <w:rsid w:val="00B21DE0"/>
    <w:rsid w:val="00B238BD"/>
    <w:rsid w:val="00B31B7F"/>
    <w:rsid w:val="00B45763"/>
    <w:rsid w:val="00B46B4E"/>
    <w:rsid w:val="00B563FE"/>
    <w:rsid w:val="00B66244"/>
    <w:rsid w:val="00B85A23"/>
    <w:rsid w:val="00B9601B"/>
    <w:rsid w:val="00BB78A2"/>
    <w:rsid w:val="00BC0A68"/>
    <w:rsid w:val="00BC22A9"/>
    <w:rsid w:val="00BC333A"/>
    <w:rsid w:val="00BC5BDD"/>
    <w:rsid w:val="00BD1FA6"/>
    <w:rsid w:val="00BD3A52"/>
    <w:rsid w:val="00BD4A00"/>
    <w:rsid w:val="00BD7153"/>
    <w:rsid w:val="00BE2DD2"/>
    <w:rsid w:val="00BF35A3"/>
    <w:rsid w:val="00BF377C"/>
    <w:rsid w:val="00BF602C"/>
    <w:rsid w:val="00C05447"/>
    <w:rsid w:val="00C112AB"/>
    <w:rsid w:val="00C2377C"/>
    <w:rsid w:val="00C23C34"/>
    <w:rsid w:val="00C35833"/>
    <w:rsid w:val="00C378C6"/>
    <w:rsid w:val="00C427F0"/>
    <w:rsid w:val="00C466A5"/>
    <w:rsid w:val="00C4744E"/>
    <w:rsid w:val="00C63481"/>
    <w:rsid w:val="00C77A7D"/>
    <w:rsid w:val="00C86B5D"/>
    <w:rsid w:val="00C87BC0"/>
    <w:rsid w:val="00C92931"/>
    <w:rsid w:val="00CA346C"/>
    <w:rsid w:val="00CC08CE"/>
    <w:rsid w:val="00CD7524"/>
    <w:rsid w:val="00D00F9D"/>
    <w:rsid w:val="00D01759"/>
    <w:rsid w:val="00D062C3"/>
    <w:rsid w:val="00D3106D"/>
    <w:rsid w:val="00D37CB9"/>
    <w:rsid w:val="00D466A5"/>
    <w:rsid w:val="00D510F7"/>
    <w:rsid w:val="00D54664"/>
    <w:rsid w:val="00D72386"/>
    <w:rsid w:val="00D961CB"/>
    <w:rsid w:val="00DA1BE2"/>
    <w:rsid w:val="00DA61AA"/>
    <w:rsid w:val="00DA7BF4"/>
    <w:rsid w:val="00DC5538"/>
    <w:rsid w:val="00DC6007"/>
    <w:rsid w:val="00DC7C44"/>
    <w:rsid w:val="00DE1FA0"/>
    <w:rsid w:val="00DF7BCC"/>
    <w:rsid w:val="00E1192C"/>
    <w:rsid w:val="00E121D8"/>
    <w:rsid w:val="00E14138"/>
    <w:rsid w:val="00E14C32"/>
    <w:rsid w:val="00E30D1C"/>
    <w:rsid w:val="00E42E79"/>
    <w:rsid w:val="00E53D45"/>
    <w:rsid w:val="00E554F9"/>
    <w:rsid w:val="00E627CE"/>
    <w:rsid w:val="00E6396A"/>
    <w:rsid w:val="00E64CB1"/>
    <w:rsid w:val="00E669F3"/>
    <w:rsid w:val="00E67DE4"/>
    <w:rsid w:val="00E73F5F"/>
    <w:rsid w:val="00E83CF9"/>
    <w:rsid w:val="00E86CFF"/>
    <w:rsid w:val="00E9225F"/>
    <w:rsid w:val="00E92BCA"/>
    <w:rsid w:val="00E95AD1"/>
    <w:rsid w:val="00E95FD6"/>
    <w:rsid w:val="00EA6A10"/>
    <w:rsid w:val="00EC2A84"/>
    <w:rsid w:val="00ED7643"/>
    <w:rsid w:val="00EE0F9A"/>
    <w:rsid w:val="00EF2078"/>
    <w:rsid w:val="00EF5F84"/>
    <w:rsid w:val="00F02012"/>
    <w:rsid w:val="00F065C0"/>
    <w:rsid w:val="00F13BBC"/>
    <w:rsid w:val="00F50CCD"/>
    <w:rsid w:val="00F54CFE"/>
    <w:rsid w:val="00F6403A"/>
    <w:rsid w:val="00F64082"/>
    <w:rsid w:val="00F70C75"/>
    <w:rsid w:val="00F83497"/>
    <w:rsid w:val="00F846C2"/>
    <w:rsid w:val="00F87C44"/>
    <w:rsid w:val="00FA4C78"/>
    <w:rsid w:val="00FC4B05"/>
    <w:rsid w:val="00FC7EBE"/>
    <w:rsid w:val="00FD5374"/>
    <w:rsid w:val="00FD6763"/>
    <w:rsid w:val="02AE119E"/>
    <w:rsid w:val="02DC3F04"/>
    <w:rsid w:val="035D3C27"/>
    <w:rsid w:val="0377173F"/>
    <w:rsid w:val="03B60BF9"/>
    <w:rsid w:val="07970828"/>
    <w:rsid w:val="07F965C3"/>
    <w:rsid w:val="092B34F0"/>
    <w:rsid w:val="092F2963"/>
    <w:rsid w:val="09B70962"/>
    <w:rsid w:val="09F204B1"/>
    <w:rsid w:val="0AAF60C7"/>
    <w:rsid w:val="0CAD246E"/>
    <w:rsid w:val="0DDD1A0E"/>
    <w:rsid w:val="0DF4428F"/>
    <w:rsid w:val="0E7E2907"/>
    <w:rsid w:val="0F28149C"/>
    <w:rsid w:val="0F453DF3"/>
    <w:rsid w:val="1121503C"/>
    <w:rsid w:val="11625F1D"/>
    <w:rsid w:val="120E70EF"/>
    <w:rsid w:val="12E904C9"/>
    <w:rsid w:val="130A7DC6"/>
    <w:rsid w:val="14CD3AA8"/>
    <w:rsid w:val="16D74CB7"/>
    <w:rsid w:val="174363DF"/>
    <w:rsid w:val="17E92EF4"/>
    <w:rsid w:val="18DB38DC"/>
    <w:rsid w:val="199155F1"/>
    <w:rsid w:val="1ABC1257"/>
    <w:rsid w:val="1CB9601D"/>
    <w:rsid w:val="1CFC5477"/>
    <w:rsid w:val="1D116731"/>
    <w:rsid w:val="1E7F005E"/>
    <w:rsid w:val="205D26A8"/>
    <w:rsid w:val="20A13AD8"/>
    <w:rsid w:val="22C229F3"/>
    <w:rsid w:val="2528774B"/>
    <w:rsid w:val="2610789E"/>
    <w:rsid w:val="263A0DBE"/>
    <w:rsid w:val="264A1001"/>
    <w:rsid w:val="27DE6A22"/>
    <w:rsid w:val="29136D63"/>
    <w:rsid w:val="299C7645"/>
    <w:rsid w:val="29F17355"/>
    <w:rsid w:val="2A77438F"/>
    <w:rsid w:val="2B997C6F"/>
    <w:rsid w:val="2BBD349B"/>
    <w:rsid w:val="2C2B40CA"/>
    <w:rsid w:val="2D460049"/>
    <w:rsid w:val="2D623596"/>
    <w:rsid w:val="2E6A303B"/>
    <w:rsid w:val="2EA01BFD"/>
    <w:rsid w:val="2F320885"/>
    <w:rsid w:val="2FEC7CEF"/>
    <w:rsid w:val="30967F7C"/>
    <w:rsid w:val="30B20672"/>
    <w:rsid w:val="30B57438"/>
    <w:rsid w:val="310B75DF"/>
    <w:rsid w:val="317C672F"/>
    <w:rsid w:val="31AB491E"/>
    <w:rsid w:val="31CF2D03"/>
    <w:rsid w:val="31EA3699"/>
    <w:rsid w:val="31F369F1"/>
    <w:rsid w:val="32D33A39"/>
    <w:rsid w:val="32DD7540"/>
    <w:rsid w:val="33B40742"/>
    <w:rsid w:val="33B73BA0"/>
    <w:rsid w:val="344572AC"/>
    <w:rsid w:val="345B262C"/>
    <w:rsid w:val="35454C1D"/>
    <w:rsid w:val="359F53CF"/>
    <w:rsid w:val="36432BB5"/>
    <w:rsid w:val="37765445"/>
    <w:rsid w:val="37BF1123"/>
    <w:rsid w:val="399A4C6C"/>
    <w:rsid w:val="3A223DCB"/>
    <w:rsid w:val="3A775CE5"/>
    <w:rsid w:val="3AD71050"/>
    <w:rsid w:val="3B1615D6"/>
    <w:rsid w:val="3D4346C1"/>
    <w:rsid w:val="3F9E399C"/>
    <w:rsid w:val="3FA62B83"/>
    <w:rsid w:val="41DD1CB3"/>
    <w:rsid w:val="439C4B3A"/>
    <w:rsid w:val="43E20674"/>
    <w:rsid w:val="444066D4"/>
    <w:rsid w:val="45667082"/>
    <w:rsid w:val="46A211BE"/>
    <w:rsid w:val="47866373"/>
    <w:rsid w:val="49114990"/>
    <w:rsid w:val="494616A5"/>
    <w:rsid w:val="497F059C"/>
    <w:rsid w:val="4A6C676E"/>
    <w:rsid w:val="4CE30FB8"/>
    <w:rsid w:val="4D595CAA"/>
    <w:rsid w:val="4F936CC6"/>
    <w:rsid w:val="51736DAF"/>
    <w:rsid w:val="51CC5AA4"/>
    <w:rsid w:val="526A0AC2"/>
    <w:rsid w:val="534B5911"/>
    <w:rsid w:val="56574EF1"/>
    <w:rsid w:val="566B62A7"/>
    <w:rsid w:val="56AD2A91"/>
    <w:rsid w:val="56C836F9"/>
    <w:rsid w:val="57DB745C"/>
    <w:rsid w:val="5934151A"/>
    <w:rsid w:val="59A45E2C"/>
    <w:rsid w:val="59BB6342"/>
    <w:rsid w:val="5AE16C65"/>
    <w:rsid w:val="5AFE72EF"/>
    <w:rsid w:val="5BF30806"/>
    <w:rsid w:val="5DD92B4C"/>
    <w:rsid w:val="5EBF1885"/>
    <w:rsid w:val="5F5C5326"/>
    <w:rsid w:val="5F6D613D"/>
    <w:rsid w:val="5FE377F5"/>
    <w:rsid w:val="619F650D"/>
    <w:rsid w:val="61DF6845"/>
    <w:rsid w:val="620E7C1F"/>
    <w:rsid w:val="625B3B3C"/>
    <w:rsid w:val="62C378D3"/>
    <w:rsid w:val="65B953D5"/>
    <w:rsid w:val="666810F5"/>
    <w:rsid w:val="66740704"/>
    <w:rsid w:val="66F1808F"/>
    <w:rsid w:val="676A13C4"/>
    <w:rsid w:val="68E9410C"/>
    <w:rsid w:val="6A9E5A1B"/>
    <w:rsid w:val="6B636F90"/>
    <w:rsid w:val="6CD57B85"/>
    <w:rsid w:val="6D8048D6"/>
    <w:rsid w:val="6D837514"/>
    <w:rsid w:val="6E670D98"/>
    <w:rsid w:val="6F77FA5B"/>
    <w:rsid w:val="701A2DBF"/>
    <w:rsid w:val="73217FC1"/>
    <w:rsid w:val="7402080F"/>
    <w:rsid w:val="74220495"/>
    <w:rsid w:val="743B3304"/>
    <w:rsid w:val="75067C84"/>
    <w:rsid w:val="753C4EFE"/>
    <w:rsid w:val="768216BE"/>
    <w:rsid w:val="77286A7D"/>
    <w:rsid w:val="777E3664"/>
    <w:rsid w:val="7A932B6A"/>
    <w:rsid w:val="7AFC32E6"/>
    <w:rsid w:val="7B3D3B4B"/>
    <w:rsid w:val="7DFF1847"/>
    <w:rsid w:val="7E27033D"/>
    <w:rsid w:val="7E9B2796"/>
    <w:rsid w:val="7EC3C661"/>
    <w:rsid w:val="7FAB2A1B"/>
    <w:rsid w:val="7FE74A0F"/>
    <w:rsid w:val="C8FFD3EA"/>
    <w:rsid w:val="DF7D7F80"/>
    <w:rsid w:val="EFBBFAF3"/>
    <w:rsid w:val="EFF6D2A6"/>
    <w:rsid w:val="FA7FC47F"/>
    <w:rsid w:val="FCDBA572"/>
    <w:rsid w:val="FDDB35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Times New Roman" w:eastAsia="宋体" w:cs="Times New Roman"/>
      <w:sz w:val="34"/>
      <w:szCs w:val="22"/>
      <w:lang w:val="en-US" w:eastAsia="zh-CN" w:bidi="ar-SA"/>
    </w:rPr>
  </w:style>
  <w:style w:type="paragraph" w:styleId="2">
    <w:name w:val="heading 2"/>
    <w:basedOn w:val="1"/>
    <w:next w:val="1"/>
    <w:qFormat/>
    <w:uiPriority w:val="0"/>
    <w:pPr>
      <w:keepNext/>
      <w:keepLines/>
      <w:spacing w:before="260" w:after="260" w:line="416" w:lineRule="auto"/>
      <w:jc w:val="center"/>
      <w:outlineLvl w:val="1"/>
    </w:pPr>
    <w:rPr>
      <w:rFonts w:ascii="Arial" w:hAnsi="Arial"/>
      <w:b/>
      <w:bCs/>
      <w:sz w:val="30"/>
      <w:szCs w:val="32"/>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annotation text"/>
    <w:basedOn w:val="1"/>
    <w:qFormat/>
    <w:uiPriority w:val="0"/>
    <w:pPr>
      <w:jc w:val="left"/>
    </w:pPr>
    <w:rPr>
      <w:sz w:val="18"/>
      <w:szCs w:val="20"/>
    </w:rPr>
  </w:style>
  <w:style w:type="paragraph" w:styleId="4">
    <w:name w:val="Body Text"/>
    <w:basedOn w:val="1"/>
    <w:next w:val="1"/>
    <w:qFormat/>
    <w:uiPriority w:val="0"/>
    <w:pPr>
      <w:spacing w:before="60" w:after="60" w:line="360" w:lineRule="auto"/>
      <w:ind w:firstLine="200"/>
    </w:pPr>
    <w:rPr>
      <w:rFonts w:eastAsia="仿宋_GB2312"/>
      <w:sz w:val="32"/>
    </w:rPr>
  </w:style>
  <w:style w:type="table" w:styleId="6">
    <w:name w:val="Table Grid"/>
    <w:basedOn w:val="5"/>
    <w:qFormat/>
    <w:uiPriority w:val="39"/>
    <w:rPr>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paragraph" w:styleId="9">
    <w:name w:val="List Paragraph"/>
    <w:basedOn w:val="1"/>
    <w:qFormat/>
    <w:uiPriority w:val="0"/>
    <w:pPr>
      <w:ind w:firstLine="420" w:firstLineChars="200"/>
    </w:pPr>
    <w:rPr>
      <w:sz w:val="20"/>
    </w:rPr>
  </w:style>
  <w:style w:type="table" w:customStyle="1" w:styleId="10">
    <w:name w:val="网格型11"/>
    <w:basedOn w:val="5"/>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GW-正文"/>
    <w:basedOn w:val="1"/>
    <w:autoRedefine/>
    <w:qFormat/>
    <w:uiPriority w:val="0"/>
    <w:pPr>
      <w:spacing w:line="360" w:lineRule="auto"/>
      <w:ind w:firstLine="200" w:firstLineChars="200"/>
    </w:pPr>
    <w:rPr>
      <w:sz w:val="24"/>
    </w:rPr>
  </w:style>
  <w:style w:type="paragraph" w:customStyle="1" w:styleId="1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3">
    <w:name w:val="Table Text"/>
    <w:basedOn w:val="1"/>
    <w:autoRedefine/>
    <w:semiHidden/>
    <w:qFormat/>
    <w:uiPriority w:val="0"/>
    <w:rPr>
      <w:rFonts w:hAnsi="宋体" w:cs="宋体"/>
      <w:sz w:val="23"/>
      <w:szCs w:val="23"/>
      <w:lang w:eastAsia="en-US"/>
    </w:rPr>
  </w:style>
  <w:style w:type="character" w:customStyle="1" w:styleId="14">
    <w:name w:val="font11"/>
    <w:basedOn w:val="7"/>
    <w:autoRedefine/>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1929</Words>
  <Characters>1980</Characters>
  <Lines>14</Lines>
  <Paragraphs>4</Paragraphs>
  <TotalTime>28</TotalTime>
  <ScaleCrop>false</ScaleCrop>
  <LinksUpToDate>false</LinksUpToDate>
  <CharactersWithSpaces>1980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2025-11-11T15:33:00Z</dcterms:created>
  <dc:creator>赵军</dc:creator>
  <cp:lastModifiedBy>李杨</cp:lastModifiedBy>
  <dcterms:modified xsi:type="dcterms:W3CDTF">2026-08-11T00:08:54Z</dcterms:modified>
  <cp:revision>527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8D4A3C337F4D44E094B528F7A81AD137_13</vt:lpwstr>
  </property>
  <property fmtid="{D5CDD505-2E9C-101B-9397-08002B2CF9AE}" pid="4" name="KSOTemplateDocerSaveRecord">
    <vt:lpwstr>eyJoZGlkIjoiZWE5OTNkYTRhOGFjNjVmZThiNTUzYzkzMDgzMjFiM2UiLCJ1c2VySWQiOiIzMDIyMTIzMjkifQ==</vt:lpwstr>
  </property>
</Properties>
</file>