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4"/>
        <w:jc w:val="center"/>
        <w:rPr>
          <w:rFonts w:hint="default" w:ascii="方正小标宋简体" w:hAnsi="方正小标宋简体" w:eastAsia="宋体" w:cs="方正小标宋简体"/>
          <w:bCs/>
          <w:color w:val="auto"/>
          <w:sz w:val="44"/>
          <w:szCs w:val="44"/>
          <w:highlight w:val="none"/>
          <w:lang w:val="en-US" w:eastAsia="zh-CN"/>
        </w:rPr>
      </w:pPr>
      <w:r>
        <w:rPr>
          <w:rFonts w:hint="eastAsia"/>
          <w:highlight w:val="none"/>
          <w:lang w:val="en-US" w:eastAsia="zh-CN"/>
        </w:rPr>
        <w:t>成都市新津区妇幼保健计划生育服务中心便携式彩色多普勒诊断仪采购项目询预算价</w:t>
      </w:r>
      <w:r>
        <w:rPr>
          <w:highlight w:val="none"/>
        </w:rPr>
        <w:t>公示</w:t>
      </w:r>
    </w:p>
    <w:p w14:paraId="3D73D342">
      <w:pPr>
        <w:spacing w:line="700" w:lineRule="exact"/>
        <w:jc w:val="both"/>
        <w:rPr>
          <w:rFonts w:hint="eastAsia" w:ascii="方正小标宋简体" w:hAnsi="方正小标宋简体" w:eastAsia="方正小标宋简体" w:cs="方正小标宋简体"/>
          <w:bCs/>
          <w:color w:val="auto"/>
          <w:sz w:val="44"/>
          <w:szCs w:val="44"/>
          <w:highlight w:val="none"/>
          <w:lang w:val="en-US" w:eastAsia="zh-CN"/>
        </w:rPr>
      </w:pPr>
    </w:p>
    <w:p w14:paraId="5EAD4A9D">
      <w:pPr>
        <w:spacing w:line="360" w:lineRule="auto"/>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根据医院业务需要，我院拟采购便携式彩色多普勒诊断仪。现将具体采购需求公告如下，各潜在供应商如有意向参与，请主动与我院联系，并在公示期内提供以下资料，以便初步甄选。</w:t>
      </w:r>
    </w:p>
    <w:p w14:paraId="640C3185">
      <w:pPr>
        <w:numPr>
          <w:ilvl w:val="0"/>
          <w:numId w:val="1"/>
        </w:numPr>
        <w:spacing w:line="560" w:lineRule="exact"/>
        <w:rPr>
          <w:rFonts w:hint="eastAsia" w:ascii="仿宋" w:hAnsi="仿宋" w:eastAsia="仿宋" w:cs="仿宋"/>
          <w:b/>
          <w:bCs/>
          <w:color w:val="auto"/>
          <w:sz w:val="32"/>
          <w:szCs w:val="32"/>
          <w:highlight w:val="none"/>
        </w:rPr>
      </w:pPr>
      <w:r>
        <w:rPr>
          <w:rFonts w:hint="eastAsia" w:ascii="宋体" w:hAnsi="宋体" w:eastAsia="宋体" w:cs="宋体"/>
          <w:b/>
          <w:bCs/>
          <w:color w:val="auto"/>
          <w:sz w:val="24"/>
          <w:szCs w:val="24"/>
          <w:highlight w:val="none"/>
        </w:rPr>
        <w:t>★</w:t>
      </w:r>
      <w:r>
        <w:rPr>
          <w:rFonts w:hint="eastAsia" w:ascii="仿宋" w:hAnsi="仿宋" w:eastAsia="仿宋" w:cs="仿宋"/>
          <w:b/>
          <w:bCs/>
          <w:color w:val="auto"/>
          <w:sz w:val="32"/>
          <w:szCs w:val="32"/>
          <w:highlight w:val="none"/>
        </w:rPr>
        <w:t>公司情况介绍：</w:t>
      </w:r>
    </w:p>
    <w:p w14:paraId="1550F1B8">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1、公司相关业务情况、业绩简介。</w:t>
      </w:r>
    </w:p>
    <w:p w14:paraId="50DA7BC1">
      <w:pPr>
        <w:spacing w:line="360" w:lineRule="auto"/>
        <w:ind w:firstLine="560" w:firstLineChars="200"/>
        <w:jc w:val="left"/>
        <w:rPr>
          <w:rFonts w:hint="default"/>
          <w:highlight w:val="none"/>
          <w:lang w:val="en-US" w:eastAsia="zh-CN"/>
        </w:rPr>
      </w:pPr>
      <w:r>
        <w:rPr>
          <w:rFonts w:hint="eastAsia" w:ascii="仿宋" w:hAnsi="仿宋" w:eastAsia="仿宋" w:cs="仿宋"/>
          <w:color w:val="auto"/>
          <w:sz w:val="28"/>
          <w:szCs w:val="28"/>
          <w:highlight w:val="none"/>
          <w:lang w:val="en-US" w:eastAsia="zh-CN"/>
        </w:rPr>
        <w:t>2、公司营业执照复印件；公司法人身份证复印件，或授权委托书及授权委托人身份证复印件。</w:t>
      </w:r>
    </w:p>
    <w:p w14:paraId="6E202725">
      <w:pPr>
        <w:numPr>
          <w:ilvl w:val="0"/>
          <w:numId w:val="1"/>
        </w:numPr>
        <w:spacing w:line="560" w:lineRule="exac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报名要求：</w:t>
      </w:r>
    </w:p>
    <w:p w14:paraId="09EF76AE">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1、资料必须密封，现场递交成都市新津区妇幼保健计划生育服务中心2A楼采购部。</w:t>
      </w:r>
    </w:p>
    <w:p w14:paraId="6D45B460">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2、报价资料需按照医院要求格式报价。（附件2）</w:t>
      </w:r>
    </w:p>
    <w:p w14:paraId="0EDEDEDA">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3、提供电子版报价资料和相关服务方案简介资料，可优化和细化功能参数，以便医院甄选使用（</w:t>
      </w:r>
      <w:r>
        <w:rPr>
          <w:rFonts w:hint="eastAsia" w:ascii="仿宋" w:hAnsi="仿宋" w:eastAsia="仿宋" w:cs="仿宋"/>
          <w:b/>
          <w:bCs/>
          <w:color w:val="FF0000"/>
          <w:sz w:val="28"/>
          <w:szCs w:val="28"/>
          <w:highlight w:val="none"/>
        </w:rPr>
        <w:t>本项目</w:t>
      </w:r>
      <w:r>
        <w:rPr>
          <w:rFonts w:hint="eastAsia" w:ascii="仿宋" w:hAnsi="仿宋" w:eastAsia="仿宋" w:cs="仿宋"/>
          <w:b/>
          <w:bCs/>
          <w:color w:val="FF0000"/>
          <w:sz w:val="28"/>
          <w:szCs w:val="28"/>
          <w:highlight w:val="none"/>
          <w:lang w:val="en-US" w:eastAsia="zh-CN"/>
        </w:rPr>
        <w:t>无</w:t>
      </w:r>
      <w:r>
        <w:rPr>
          <w:rFonts w:hint="eastAsia" w:ascii="仿宋" w:hAnsi="仿宋" w:eastAsia="仿宋" w:cs="仿宋"/>
          <w:b/>
          <w:bCs/>
          <w:color w:val="FF0000"/>
          <w:sz w:val="28"/>
          <w:szCs w:val="28"/>
          <w:highlight w:val="none"/>
        </w:rPr>
        <w:t>需电子报价</w:t>
      </w:r>
      <w:r>
        <w:rPr>
          <w:rFonts w:hint="eastAsia" w:ascii="仿宋" w:hAnsi="仿宋" w:eastAsia="仿宋" w:cs="仿宋"/>
          <w:sz w:val="28"/>
          <w:szCs w:val="28"/>
          <w:highlight w:val="none"/>
        </w:rPr>
        <w:t>）</w:t>
      </w:r>
    </w:p>
    <w:p w14:paraId="11D4DA37">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4、参与供应商应符合《政府采购法》第二十二条的相关资质要求，具备相关资质。并提供相关证明材料或承诺函。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5、拟参与本项目的供应商如需了解项目情况，自行对接该项目负责人了解相关信息。</w:t>
      </w:r>
    </w:p>
    <w:p w14:paraId="053AA85D">
      <w:pPr>
        <w:spacing w:line="360" w:lineRule="auto"/>
        <w:ind w:firstLine="560" w:firstLineChars="200"/>
        <w:jc w:val="left"/>
        <w:rPr>
          <w:color w:val="auto"/>
          <w:highlight w:val="none"/>
        </w:rPr>
      </w:pPr>
      <w:r>
        <w:rPr>
          <w:rFonts w:hint="eastAsia" w:ascii="仿宋" w:hAnsi="仿宋" w:eastAsia="仿宋" w:cs="仿宋"/>
          <w:color w:val="auto"/>
          <w:sz w:val="28"/>
          <w:szCs w:val="28"/>
          <w:highlight w:val="none"/>
          <w:lang w:val="en-US" w:eastAsia="zh-CN"/>
        </w:rPr>
        <w:t>6、所有递交资料及相关证明材料必须加盖供应商鲜章有效。</w:t>
      </w:r>
    </w:p>
    <w:p w14:paraId="53F6BAEA">
      <w:pPr>
        <w:numPr>
          <w:ilvl w:val="0"/>
          <w:numId w:val="1"/>
        </w:numPr>
        <w:spacing w:line="560" w:lineRule="exac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本次公开询价结果只作为本项目采购预算价，不作为成交价。</w:t>
      </w:r>
    </w:p>
    <w:p w14:paraId="08556C05">
      <w:pPr>
        <w:numPr>
          <w:ilvl w:val="0"/>
          <w:numId w:val="1"/>
        </w:numPr>
        <w:spacing w:line="560" w:lineRule="exac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其他事项</w:t>
      </w:r>
    </w:p>
    <w:p w14:paraId="68FD5C6A">
      <w:pPr>
        <w:spacing w:line="360" w:lineRule="auto"/>
        <w:ind w:firstLine="560" w:firstLineChars="200"/>
        <w:jc w:val="left"/>
        <w:rPr>
          <w:rFonts w:hint="default" w:ascii="仿宋" w:hAnsi="仿宋" w:eastAsia="仿宋" w:cs="仿宋"/>
          <w:color w:val="auto"/>
          <w:sz w:val="28"/>
          <w:szCs w:val="28"/>
          <w:highlight w:val="none"/>
          <w:lang w:val="en-US" w:eastAsia="zh-CN"/>
        </w:rPr>
      </w:pPr>
      <w:bookmarkStart w:id="0" w:name="_Toc20665"/>
      <w:bookmarkStart w:id="1" w:name="_Toc20249"/>
      <w:r>
        <w:rPr>
          <w:rFonts w:hint="eastAsia" w:ascii="仿宋" w:hAnsi="仿宋" w:eastAsia="仿宋" w:cs="仿宋"/>
          <w:color w:val="auto"/>
          <w:sz w:val="28"/>
          <w:szCs w:val="28"/>
          <w:highlight w:val="none"/>
          <w:lang w:val="en-US" w:eastAsia="zh-CN"/>
        </w:rPr>
        <w:t>1、市场项目调研书的递交：自本公告发布之日起至8月24日下午5:00。递交资料人员须为法人或授权委托人并提供证明文件查看。报名登记表见附件3。</w:t>
      </w:r>
      <w:bookmarkStart w:id="2" w:name="_GoBack"/>
      <w:bookmarkEnd w:id="2"/>
    </w:p>
    <w:p w14:paraId="454F1550">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2、公示人：成都市新津区妇幼保健计划生育服务中心（成都市新津区妇幼保健院） 地址：成都市新津区西创大道1387号。</w:t>
      </w:r>
    </w:p>
    <w:p w14:paraId="35C790C4">
      <w:pPr>
        <w:spacing w:line="360" w:lineRule="auto"/>
        <w:ind w:firstLine="560" w:firstLineChars="200"/>
        <w:jc w:val="left"/>
        <w:rPr>
          <w:rFonts w:hint="default" w:hAnsi="宋体" w:cs="仿宋_GB2312"/>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3、报名联系人：李老师028-8259987 。</w:t>
      </w:r>
    </w:p>
    <w:p w14:paraId="56EC0838">
      <w:pPr>
        <w:spacing w:line="360" w:lineRule="auto"/>
        <w:ind w:firstLine="560" w:firstLineChars="200"/>
        <w:jc w:val="lef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4、报名供应商可通过邮箱66987681@qq.com报名。报名需提交报名登记表及登记表要求的相关资质资料（盖公章）。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highlight w:val="none"/>
          <w:lang w:val="en-US" w:eastAsia="zh-CN"/>
        </w:rPr>
      </w:pPr>
    </w:p>
    <w:p w14:paraId="6C596645">
      <w:pPr>
        <w:numPr>
          <w:ilvl w:val="0"/>
          <w:numId w:val="0"/>
        </w:numPr>
        <w:spacing w:line="560" w:lineRule="exact"/>
        <w:rPr>
          <w:rFonts w:hint="eastAsia" w:ascii="仿宋" w:hAnsi="仿宋" w:eastAsia="仿宋" w:cs="仿宋"/>
          <w:b/>
          <w:bCs/>
          <w:color w:val="auto"/>
          <w:sz w:val="32"/>
          <w:szCs w:val="32"/>
          <w:highlight w:val="none"/>
          <w:lang w:val="en-US" w:eastAsia="zh-CN"/>
        </w:rPr>
      </w:pPr>
    </w:p>
    <w:p w14:paraId="290D44DF">
      <w:pPr>
        <w:numPr>
          <w:ilvl w:val="0"/>
          <w:numId w:val="0"/>
        </w:numPr>
        <w:spacing w:line="560" w:lineRule="exact"/>
        <w:rPr>
          <w:rFonts w:hint="eastAsia" w:ascii="仿宋" w:hAnsi="仿宋" w:eastAsia="仿宋" w:cs="仿宋"/>
          <w:b/>
          <w:bCs/>
          <w:color w:val="auto"/>
          <w:sz w:val="32"/>
          <w:szCs w:val="32"/>
          <w:highlight w:val="none"/>
          <w:lang w:val="en-US" w:eastAsia="zh-CN"/>
        </w:rPr>
      </w:pPr>
    </w:p>
    <w:p w14:paraId="3B97DEFB">
      <w:pPr>
        <w:numPr>
          <w:ilvl w:val="0"/>
          <w:numId w:val="0"/>
        </w:numPr>
        <w:spacing w:line="560" w:lineRule="exact"/>
        <w:rPr>
          <w:rFonts w:hint="eastAsia" w:ascii="仿宋" w:hAnsi="仿宋" w:eastAsia="仿宋" w:cs="仿宋"/>
          <w:b/>
          <w:bCs/>
          <w:color w:val="auto"/>
          <w:sz w:val="32"/>
          <w:szCs w:val="32"/>
          <w:highlight w:val="none"/>
          <w:lang w:val="en-US" w:eastAsia="zh-CN"/>
        </w:rPr>
      </w:pPr>
    </w:p>
    <w:p w14:paraId="659C3763">
      <w:pPr>
        <w:numPr>
          <w:ilvl w:val="0"/>
          <w:numId w:val="0"/>
        </w:numPr>
        <w:spacing w:line="560" w:lineRule="exact"/>
        <w:rPr>
          <w:rFonts w:hint="eastAsia" w:ascii="仿宋" w:hAnsi="仿宋" w:eastAsia="仿宋" w:cs="仿宋"/>
          <w:b/>
          <w:bCs/>
          <w:color w:val="auto"/>
          <w:sz w:val="32"/>
          <w:szCs w:val="32"/>
          <w:highlight w:val="none"/>
          <w:lang w:val="en-US" w:eastAsia="zh-CN"/>
        </w:rPr>
      </w:pPr>
    </w:p>
    <w:p w14:paraId="0297DC1E">
      <w:pPr>
        <w:pStyle w:val="3"/>
        <w:rPr>
          <w:rFonts w:hint="eastAsia" w:ascii="仿宋" w:hAnsi="仿宋" w:eastAsia="仿宋" w:cs="仿宋"/>
          <w:b/>
          <w:bCs/>
          <w:color w:val="auto"/>
          <w:sz w:val="32"/>
          <w:szCs w:val="32"/>
          <w:highlight w:val="none"/>
          <w:lang w:val="en-US" w:eastAsia="zh-CN"/>
        </w:rPr>
      </w:pPr>
    </w:p>
    <w:p w14:paraId="78D19658">
      <w:pPr>
        <w:rPr>
          <w:rFonts w:hint="eastAsia" w:ascii="仿宋" w:hAnsi="仿宋" w:eastAsia="仿宋" w:cs="仿宋"/>
          <w:b/>
          <w:bCs/>
          <w:color w:val="auto"/>
          <w:sz w:val="32"/>
          <w:szCs w:val="32"/>
          <w:highlight w:val="none"/>
          <w:lang w:val="en-US" w:eastAsia="zh-CN"/>
        </w:rPr>
      </w:pPr>
    </w:p>
    <w:p w14:paraId="11A37A80">
      <w:pPr>
        <w:pStyle w:val="3"/>
        <w:rPr>
          <w:rFonts w:hint="eastAsia" w:ascii="仿宋" w:hAnsi="仿宋" w:eastAsia="仿宋" w:cs="仿宋"/>
          <w:b/>
          <w:bCs/>
          <w:color w:val="auto"/>
          <w:sz w:val="32"/>
          <w:szCs w:val="32"/>
          <w:highlight w:val="none"/>
          <w:lang w:val="en-US" w:eastAsia="zh-CN"/>
        </w:rPr>
      </w:pPr>
    </w:p>
    <w:p w14:paraId="42AB44CA">
      <w:pPr>
        <w:rPr>
          <w:rFonts w:hint="eastAsia" w:ascii="仿宋" w:hAnsi="仿宋" w:eastAsia="仿宋" w:cs="仿宋"/>
          <w:b/>
          <w:bCs/>
          <w:color w:val="auto"/>
          <w:sz w:val="32"/>
          <w:szCs w:val="32"/>
          <w:highlight w:val="none"/>
          <w:lang w:val="en-US" w:eastAsia="zh-CN"/>
        </w:rPr>
      </w:pPr>
    </w:p>
    <w:p w14:paraId="4D4508A1">
      <w:pPr>
        <w:pStyle w:val="3"/>
        <w:rPr>
          <w:rFonts w:hint="eastAsia"/>
          <w:highlight w:val="none"/>
          <w:lang w:val="en-US" w:eastAsia="zh-CN"/>
        </w:rPr>
      </w:pPr>
    </w:p>
    <w:p w14:paraId="77733857">
      <w:pPr>
        <w:numPr>
          <w:ilvl w:val="0"/>
          <w:numId w:val="0"/>
        </w:numPr>
        <w:spacing w:line="560" w:lineRule="exact"/>
        <w:rPr>
          <w:rFonts w:hint="eastAsia" w:ascii="黑体" w:hAnsi="黑体" w:eastAsia="黑体" w:cs="黑体"/>
          <w:sz w:val="32"/>
          <w:szCs w:val="32"/>
          <w:highlight w:val="none"/>
        </w:rPr>
      </w:pPr>
    </w:p>
    <w:p w14:paraId="0810B193">
      <w:pPr>
        <w:numPr>
          <w:ilvl w:val="0"/>
          <w:numId w:val="0"/>
        </w:numPr>
        <w:spacing w:line="560" w:lineRule="exac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附件1：采购需求</w:t>
      </w:r>
    </w:p>
    <w:p w14:paraId="41E4BBD1">
      <w:pPr>
        <w:numPr>
          <w:ilvl w:val="0"/>
          <w:numId w:val="0"/>
        </w:numPr>
        <w:spacing w:line="500" w:lineRule="exact"/>
        <w:rPr>
          <w:rFonts w:hint="eastAsia" w:ascii="仿宋" w:hAnsi="仿宋" w:eastAsia="仿宋" w:cs="仿宋"/>
          <w:b w:val="0"/>
          <w:bCs w:val="0"/>
          <w:kern w:val="2"/>
          <w:sz w:val="28"/>
          <w:szCs w:val="28"/>
          <w:highlight w:val="none"/>
          <w:lang w:val="en-US" w:eastAsia="zh-CN" w:bidi="ar-SA"/>
        </w:rPr>
      </w:pPr>
      <w:r>
        <w:rPr>
          <w:rFonts w:hint="eastAsia" w:ascii="黑体" w:hAnsi="黑体" w:eastAsia="黑体" w:cs="黑体"/>
          <w:sz w:val="32"/>
          <w:szCs w:val="32"/>
          <w:highlight w:val="none"/>
        </w:rPr>
        <w:t>★</w:t>
      </w:r>
      <w:r>
        <w:rPr>
          <w:rFonts w:hint="eastAsia" w:ascii="仿宋" w:hAnsi="仿宋" w:eastAsia="仿宋" w:cs="仿宋"/>
          <w:b w:val="0"/>
          <w:bCs w:val="0"/>
          <w:kern w:val="2"/>
          <w:sz w:val="28"/>
          <w:szCs w:val="28"/>
          <w:highlight w:val="none"/>
          <w:lang w:val="en-US" w:eastAsia="zh-CN" w:bidi="ar-SA"/>
        </w:rPr>
        <w:t>一、采购需求</w:t>
      </w:r>
    </w:p>
    <w:p w14:paraId="4266A7C5">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重要功能/指标</w:t>
      </w:r>
    </w:p>
    <w:p w14:paraId="20544BD1">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（一）主要技术规格及系统概述</w:t>
      </w:r>
    </w:p>
    <w:p w14:paraId="1DC7DC55">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机身与重量</w:t>
      </w:r>
    </w:p>
    <w:p w14:paraId="67F10BDB">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1.1 一体化笔记本便携设计，整机含内置锂电池总重量≤</w:t>
      </w:r>
      <w:r>
        <w:rPr>
          <w:rFonts w:hint="default" w:ascii="仿宋" w:hAnsi="仿宋" w:eastAsia="仿宋" w:cs="仿宋"/>
          <w:sz w:val="28"/>
          <w:szCs w:val="28"/>
          <w:highlight w:val="none"/>
          <w:lang w:val="en-US" w:eastAsia="zh-CN"/>
        </w:rPr>
        <w:t>9</w:t>
      </w:r>
      <w:r>
        <w:rPr>
          <w:rFonts w:hint="eastAsia" w:ascii="仿宋" w:hAnsi="仿宋" w:eastAsia="仿宋" w:cs="仿宋"/>
          <w:sz w:val="28"/>
          <w:szCs w:val="28"/>
          <w:highlight w:val="none"/>
          <w:lang w:val="en-US" w:eastAsia="zh-CN"/>
        </w:rPr>
        <w:t>kg；一体式防滑手提，可手提出诊、车载、床旁急救，符合轻量化要求；</w:t>
      </w:r>
    </w:p>
    <w:p w14:paraId="57F8B57E">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1.2 配备≥15英寸医用高清显示屏，分辨率1920×1080，IPS广视角，支持屏幕多角度俯仰调节、环境光自动调光；</w:t>
      </w:r>
    </w:p>
    <w:p w14:paraId="1E5AF06A">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 机身一体式防滑提手，配套原厂便携防护拉杆箱，可适配出诊、车载、床旁移动使用；</w:t>
      </w:r>
    </w:p>
    <w:p w14:paraId="4D42B3E2">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1.4 内置可充电锂电池，满电连续工作≥90分钟；磁吸防脱落充电接口，避免拖拽损坏主机。</w:t>
      </w:r>
    </w:p>
    <w:p w14:paraId="660E33BD">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探头接口系统</w:t>
      </w:r>
    </w:p>
    <w:p w14:paraId="65DD885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2.1 主机内置≥2 个独立全激活探头接口，接口互通互用，无需插拔切换模块；</w:t>
      </w:r>
    </w:p>
    <w:p w14:paraId="3770B06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2.2 无针贴片式防水探头接口，探头IPX7级防尘防水，可直接冲洗消毒；</w:t>
      </w:r>
    </w:p>
    <w:p w14:paraId="32825F98">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2.3 支持兼容探头类型≥10种：凸阵、线阵、相控阵心脏、腔内、微凸、肌骨高频、穿刺探头等。</w:t>
      </w:r>
    </w:p>
    <w:p w14:paraId="79F0A31B">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运算与存储硬件</w:t>
      </w:r>
    </w:p>
    <w:p w14:paraId="0B242180">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3.1 全数字化波束形成器，发射/接收通道≥1024通道，A/D转换≥12bit；</w:t>
      </w:r>
    </w:p>
    <w:p w14:paraId="3B29AC9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3.2 内置固态硬盘≥240G，支持实时同步存储，扫查同时导出图像不卡顿，意外断电数据不丢失；</w:t>
      </w:r>
    </w:p>
    <w:p w14:paraId="43DA4D0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3.3 外部接口：内置≥3个USB3.0接口、HDMI视频输出接口，无需外接拓展坞；</w:t>
      </w:r>
    </w:p>
    <w:p w14:paraId="59F4E12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 物理全键盘+≥6组自定义快捷键，单键可绑定冻结、测量、存储、谐波、血流优化等多功能。</w:t>
      </w:r>
    </w:p>
    <w:p w14:paraId="1CEAB94E">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 供电适配</w:t>
      </w:r>
    </w:p>
    <w:p w14:paraId="23E95C3E">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宽电压100–240V交流供电，适配卫生院、下乡车载逆变电源使用。</w:t>
      </w:r>
    </w:p>
    <w:p w14:paraId="2B2C7C44">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（二）成像技术功能</w:t>
      </w:r>
    </w:p>
    <w:p w14:paraId="0C578831">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1、二维灰阶成像</w:t>
      </w:r>
    </w:p>
    <w:p w14:paraId="7FFB340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标配THI组织谐波、PI脉冲反转谐波双谐波成像；</w:t>
      </w:r>
    </w:p>
    <w:p w14:paraId="29D5C27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实时多角度空间复合成像、斑点噪声抑制SRI、一键图像自动优化i-Tune；</w:t>
      </w:r>
    </w:p>
    <w:p w14:paraId="7C76E5A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梯形扩展成像、局部高清放大HD Zoom；TGC≥8段独立调节；</w:t>
      </w:r>
    </w:p>
    <w:p w14:paraId="453FAEB6">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 TGC分段调节≥8段，LGC分段≥8段，二维多焦点动态可调，支持前端/后端局部放大；</w:t>
      </w:r>
    </w:p>
    <w:p w14:paraId="54D4007B">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 B探查深度：腹部凸阵最大30cm，浅表线阵6cm，心脏相控28cm；</w:t>
      </w:r>
    </w:p>
    <w:p w14:paraId="279D39B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6.四幅同屏实时对比显示，冻结后原始数据可二次调节增益、TGC、动态范围。</w:t>
      </w:r>
    </w:p>
    <w:p w14:paraId="403CA93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2、多普勒血流成像（彩色 + 能量）</w:t>
      </w:r>
    </w:p>
    <w:p w14:paraId="20B087D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彩色速度多普勒、能量多普勒、方向能量多普勒三模式齐全；</w:t>
      </w:r>
    </w:p>
    <w:p w14:paraId="718B793B">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超高分辨率微细血流成像，微血管显像，适配甲状腺、乳腺、肌骨检查；</w:t>
      </w:r>
    </w:p>
    <w:p w14:paraId="6F06694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双实时同屏对比显示，自动追踪取样框，一键血流增益优化；</w:t>
      </w:r>
    </w:p>
    <w:p w14:paraId="65BD2E02">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 支持穿刺增强成像，单线/双线穿刺引导，引导线角度任意可调。</w:t>
      </w:r>
    </w:p>
    <w:p w14:paraId="1CB3CBC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3、频谱多普勒（PW/CW/HPRF）</w:t>
      </w:r>
    </w:p>
    <w:p w14:paraId="69FBABA5">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脉冲PW、连续CW、高脉冲重复频率HPRF三种频谱模式；</w:t>
      </w:r>
    </w:p>
    <w:p w14:paraId="305CEE98">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组织多普勒TDI成像，支持TVI、TEI、TVM、TVD四种心脏定量模式；</w:t>
      </w:r>
    </w:p>
    <w:p w14:paraId="49A1FEE7">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频谱自动包络、自动流速测量，取样容积0.5–20mm连续可调；</w:t>
      </w:r>
    </w:p>
    <w:p w14:paraId="3937437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 CW最大血流测速≥35m/s，PW最低可测低速血流≤1mm/s，满足心脏、外周血管检查需求。</w:t>
      </w:r>
    </w:p>
    <w:p w14:paraId="38B8D548">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4、M型成像体系</w:t>
      </w:r>
    </w:p>
    <w:p w14:paraId="272E8AF1">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1、基础M型、彩色M型、解剖M型，支持≥3条取样线，360°任意旋转；</w:t>
      </w:r>
    </w:p>
    <w:p w14:paraId="7C9F1F8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2、同步双幅B+M同屏显示，自动心功能测算。</w:t>
      </w:r>
    </w:p>
    <w:p w14:paraId="021A9FCE">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5、高级临床功能</w:t>
      </w:r>
    </w:p>
    <w:p w14:paraId="584A6C3F">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实时弹性应变成像（适用于软组织弹性检测，多用于乳腺、甲状腺筛查）；</w:t>
      </w:r>
    </w:p>
    <w:p w14:paraId="79496545">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全景宽幅成像（扩展腹部、下肢血管长切面成像）；</w:t>
      </w:r>
    </w:p>
    <w:p w14:paraId="2BE51EC6">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原始数据后处理：冻结图像可二次调节增益、动态范围、TGC，重新测量，无需重扫；</w:t>
      </w:r>
    </w:p>
    <w:p w14:paraId="6036D84E">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 动态电影回放：前后双向存储，预存回放时长≥5分钟，支持单帧截取、循环播放。</w:t>
      </w:r>
    </w:p>
    <w:p w14:paraId="526DDA52">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（三）标配探头配置</w:t>
      </w:r>
    </w:p>
    <w:p w14:paraId="1450B841">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 宽频凸阵探头（2–5MHz），阵元≥128，适用于腹部、妇产、泌尿常规检查；</w:t>
      </w:r>
    </w:p>
    <w:p w14:paraId="081AA35D">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 高频线阵探头（6–13MHz），阵元≥192，适用于甲状腺、乳腺、血管、肌骨检查。</w:t>
      </w:r>
    </w:p>
    <w:p w14:paraId="0FD33C77">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探头通用硬性要求</w:t>
      </w:r>
    </w:p>
    <w:p w14:paraId="3921FC5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所有探头原厂标配，非第三方改装；提供探头原厂质保，与主机同步保修。</w:t>
      </w:r>
    </w:p>
    <w:p w14:paraId="0681121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（四）图像存储、报告与信息化</w:t>
      </w:r>
    </w:p>
    <w:p w14:paraId="31AFFE9D">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1.静态/动态图像支持DICOM3.0标准，兼容院内PACS、LIS系统；</w:t>
      </w:r>
    </w:p>
    <w:p w14:paraId="19B9BE59">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2.免费开放DICOM接口，终身无接口年费，支持双向传输图像、报告；</w:t>
      </w:r>
    </w:p>
    <w:p w14:paraId="74765EB5">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3.支持导出格式：DCM、JPG、BMP、AVI视频，普通电脑无需专用软件直接打开；</w:t>
      </w:r>
    </w:p>
    <w:p w14:paraId="720CCB53">
      <w:pPr>
        <w:spacing w:line="6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4.内置患者信息数据库，可按姓名、ID、日期检索历史病例，支持U盘批量导出。</w:t>
      </w:r>
    </w:p>
    <w:p w14:paraId="5774412F">
      <w:pPr>
        <w:spacing w:line="600" w:lineRule="exact"/>
        <w:rPr>
          <w:rFonts w:hint="eastAsia" w:ascii="黑体" w:hAnsi="黑体" w:eastAsia="黑体" w:cs="黑体"/>
          <w:sz w:val="32"/>
          <w:szCs w:val="32"/>
          <w:highlight w:val="none"/>
        </w:rPr>
      </w:pPr>
    </w:p>
    <w:p w14:paraId="1E4BDAFB">
      <w:pPr>
        <w:spacing w:line="600" w:lineRule="exact"/>
        <w:rPr>
          <w:rFonts w:ascii="黑体" w:hAnsi="黑体" w:eastAsia="黑体" w:cs="黑体"/>
          <w:sz w:val="32"/>
          <w:szCs w:val="32"/>
          <w:highlight w:val="none"/>
        </w:rPr>
      </w:pP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w:t>
      </w:r>
      <w:r>
        <w:rPr>
          <w:rFonts w:hint="eastAsia" w:ascii="黑体" w:hAnsi="黑体" w:eastAsia="黑体" w:cs="黑体"/>
          <w:color w:val="auto"/>
          <w:sz w:val="32"/>
          <w:szCs w:val="32"/>
          <w:highlight w:val="none"/>
        </w:rPr>
        <w:t>商务及其他要求</w:t>
      </w:r>
    </w:p>
    <w:bookmarkEnd w:id="0"/>
    <w:bookmarkEnd w:id="1"/>
    <w:p w14:paraId="07E857BE">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1.交货与安装</w:t>
      </w:r>
    </w:p>
    <w:p w14:paraId="2748013B">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合同签订之日起2个月内完成到货、安装、调试、培训及验收，交付正常使用。</w:t>
      </w:r>
    </w:p>
    <w:p w14:paraId="5E8C3112">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2.质量保证期</w:t>
      </w:r>
    </w:p>
    <w:p w14:paraId="3A2F3B52">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整机质保期≥1年，质保期自最终验收合格之日起算。</w:t>
      </w:r>
    </w:p>
    <w:p w14:paraId="7EF56754">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3.维保与巡检服务</w:t>
      </w:r>
    </w:p>
    <w:p w14:paraId="0860987D">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质保期内，供应商每季度至少1次上门设备巡检，每半年提供1次全面维保与亮度校准，确保设备长期稳定符合DICOM标准。</w:t>
      </w:r>
    </w:p>
    <w:p w14:paraId="7702C173">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4.技术服务与响应</w:t>
      </w:r>
    </w:p>
    <w:p w14:paraId="7FCA1DD7">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提供7×24小时技术支持，接到故障通知后30分钟内响应，2小时内到达现场，一般故障4小时内排除，重大故障提供备用机保障业务不中断。</w:t>
      </w:r>
    </w:p>
    <w:p w14:paraId="1A5A3ACC">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5.培训与资料</w:t>
      </w:r>
    </w:p>
    <w:p w14:paraId="5C3CEE6A">
      <w:pPr>
        <w:numPr>
          <w:ilvl w:val="0"/>
          <w:numId w:val="0"/>
        </w:num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供应商提供现场操作培训，确保使用人员熟练操作；提供完整验收资料，含产品说明书、合格证、检测报告、质保承诺、原厂授权等。</w:t>
      </w:r>
    </w:p>
    <w:p w14:paraId="36F7680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4"/>
          <w:szCs w:val="24"/>
          <w:highlight w:val="none"/>
        </w:rPr>
      </w:pPr>
    </w:p>
    <w:p w14:paraId="7E251FF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b/>
          <w:bCs/>
          <w:color w:val="auto"/>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以上带★号条款为实质性要求。</w:t>
      </w:r>
    </w:p>
    <w:p w14:paraId="4244C27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本项目所涉及的所有国家标准、地方标准、行业标准等如有最新的标准以最新标准为准。</w:t>
      </w:r>
    </w:p>
    <w:p w14:paraId="466D5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5CB73D77">
      <w:pPr>
        <w:rPr>
          <w:rFonts w:hint="eastAsia"/>
          <w:color w:val="auto"/>
          <w:highlight w:val="none"/>
          <w:lang w:val="en-US" w:eastAsia="zh-CN"/>
        </w:rPr>
      </w:pPr>
      <w:r>
        <w:rPr>
          <w:rFonts w:hint="eastAsia"/>
          <w:color w:val="auto"/>
          <w:highlight w:val="none"/>
          <w:lang w:val="en-US" w:eastAsia="zh-CN"/>
        </w:rPr>
        <w:br w:type="page"/>
      </w:r>
    </w:p>
    <w:p w14:paraId="2D3CDA3D">
      <w:pPr>
        <w:spacing w:line="360" w:lineRule="auto"/>
        <w:outlineLvl w:val="0"/>
        <w:rPr>
          <w:rFonts w:hint="eastAsia" w:ascii="Calibri" w:hAnsi="Calibri"/>
          <w:b/>
          <w:bCs/>
          <w:color w:val="auto"/>
          <w:sz w:val="32"/>
          <w:szCs w:val="32"/>
          <w:highlight w:val="none"/>
          <w:lang w:val="en-US" w:eastAsia="zh-CN"/>
        </w:rPr>
      </w:pPr>
      <w:r>
        <w:rPr>
          <w:rFonts w:hint="eastAsia" w:ascii="Calibri" w:hAnsi="Calibri"/>
          <w:b/>
          <w:bCs/>
          <w:color w:val="auto"/>
          <w:sz w:val="32"/>
          <w:szCs w:val="32"/>
          <w:highlight w:val="none"/>
        </w:rPr>
        <w:t>附件2：报价</w:t>
      </w:r>
      <w:r>
        <w:rPr>
          <w:rFonts w:hint="eastAsia" w:ascii="Calibri" w:hAnsi="Calibri"/>
          <w:b/>
          <w:bCs/>
          <w:color w:val="auto"/>
          <w:sz w:val="32"/>
          <w:szCs w:val="32"/>
          <w:highlight w:val="none"/>
          <w:lang w:val="en-US" w:eastAsia="zh-CN"/>
        </w:rPr>
        <w:t>格式</w:t>
      </w:r>
    </w:p>
    <w:p w14:paraId="1BF80C22">
      <w:pPr>
        <w:rPr>
          <w:rFonts w:hint="eastAsia" w:ascii="Calibri" w:hAnsi="Calibri"/>
          <w:b/>
          <w:bCs/>
          <w:color w:val="auto"/>
          <w:sz w:val="32"/>
          <w:szCs w:val="32"/>
          <w:highlight w:val="none"/>
          <w:lang w:val="en-US" w:eastAsia="zh-CN"/>
        </w:rPr>
      </w:pPr>
    </w:p>
    <w:tbl>
      <w:tblPr>
        <w:tblStyle w:val="6"/>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1"/>
        <w:gridCol w:w="1292"/>
        <w:gridCol w:w="2216"/>
        <w:gridCol w:w="3361"/>
      </w:tblGrid>
      <w:tr w14:paraId="6144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591" w:type="dxa"/>
            <w:vAlign w:val="center"/>
          </w:tcPr>
          <w:p w14:paraId="16FE6383">
            <w:pPr>
              <w:jc w:val="center"/>
              <w:rPr>
                <w:rFonts w:hint="eastAsia" w:ascii="仿宋" w:hAnsi="仿宋" w:eastAsia="仿宋" w:cs="Times New Roman"/>
                <w:b/>
                <w:bCs/>
                <w:color w:val="auto"/>
                <w:kern w:val="2"/>
                <w:sz w:val="28"/>
                <w:szCs w:val="28"/>
                <w:highlight w:val="none"/>
                <w:lang w:val="en-US" w:eastAsia="zh-CN" w:bidi="ar-SA"/>
              </w:rPr>
            </w:pPr>
            <w:r>
              <w:rPr>
                <w:rFonts w:hint="eastAsia" w:ascii="仿宋" w:hAnsi="仿宋" w:eastAsia="仿宋" w:cs="Times New Roman"/>
                <w:b/>
                <w:bCs/>
                <w:color w:val="auto"/>
                <w:kern w:val="2"/>
                <w:sz w:val="28"/>
                <w:szCs w:val="28"/>
                <w:highlight w:val="none"/>
                <w:lang w:val="en-US" w:eastAsia="zh-CN" w:bidi="ar-SA"/>
              </w:rPr>
              <w:t>项目名称</w:t>
            </w:r>
          </w:p>
        </w:tc>
        <w:tc>
          <w:tcPr>
            <w:tcW w:w="1292" w:type="dxa"/>
            <w:vAlign w:val="center"/>
          </w:tcPr>
          <w:p w14:paraId="615359CA">
            <w:pP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数量</w:t>
            </w:r>
          </w:p>
        </w:tc>
        <w:tc>
          <w:tcPr>
            <w:tcW w:w="2216" w:type="dxa"/>
            <w:vAlign w:val="center"/>
          </w:tcPr>
          <w:p w14:paraId="55F47DF3">
            <w:pPr>
              <w:jc w:val="center"/>
              <w:rPr>
                <w:rFonts w:hint="default" w:ascii="仿宋" w:hAnsi="仿宋" w:eastAsia="仿宋" w:cs="Times New Roman"/>
                <w:b/>
                <w:bCs/>
                <w:color w:val="auto"/>
                <w:kern w:val="2"/>
                <w:sz w:val="28"/>
                <w:szCs w:val="28"/>
                <w:highlight w:val="none"/>
                <w:lang w:val="en-US" w:eastAsia="zh-CN" w:bidi="ar-SA"/>
              </w:rPr>
            </w:pPr>
            <w:r>
              <w:rPr>
                <w:rFonts w:hint="eastAsia" w:ascii="仿宋" w:hAnsi="仿宋" w:eastAsia="仿宋" w:cs="Times New Roman"/>
                <w:b/>
                <w:bCs/>
                <w:color w:val="auto"/>
                <w:kern w:val="2"/>
                <w:sz w:val="28"/>
                <w:szCs w:val="28"/>
                <w:highlight w:val="none"/>
                <w:lang w:val="en-US" w:eastAsia="zh-CN" w:bidi="ar-SA"/>
              </w:rPr>
              <w:t>单位</w:t>
            </w:r>
          </w:p>
        </w:tc>
        <w:tc>
          <w:tcPr>
            <w:tcW w:w="3361" w:type="dxa"/>
            <w:vAlign w:val="center"/>
          </w:tcPr>
          <w:p w14:paraId="0DF09196">
            <w:pPr>
              <w:jc w:val="center"/>
              <w:rPr>
                <w:rFonts w:hint="eastAsia" w:ascii="仿宋" w:hAnsi="仿宋" w:eastAsia="仿宋" w:cs="Times New Roman"/>
                <w:b/>
                <w:bCs/>
                <w:color w:val="auto"/>
                <w:kern w:val="2"/>
                <w:sz w:val="28"/>
                <w:szCs w:val="28"/>
                <w:highlight w:val="none"/>
                <w:lang w:val="en-US" w:eastAsia="zh-CN" w:bidi="ar-SA"/>
              </w:rPr>
            </w:pPr>
            <w:r>
              <w:rPr>
                <w:rFonts w:hint="eastAsia" w:ascii="仿宋" w:hAnsi="仿宋" w:eastAsia="仿宋" w:cs="Times New Roman"/>
                <w:b/>
                <w:bCs/>
                <w:color w:val="auto"/>
                <w:kern w:val="2"/>
                <w:sz w:val="28"/>
                <w:szCs w:val="28"/>
                <w:highlight w:val="none"/>
                <w:lang w:val="en-US" w:eastAsia="zh-CN" w:bidi="ar-SA"/>
              </w:rPr>
              <w:t>单价（万元）</w:t>
            </w:r>
          </w:p>
        </w:tc>
      </w:tr>
      <w:tr w14:paraId="3BC5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3591" w:type="dxa"/>
            <w:vAlign w:val="center"/>
          </w:tcPr>
          <w:p w14:paraId="7ADC3640">
            <w:pPr>
              <w:numPr>
                <w:ilvl w:val="0"/>
                <w:numId w:val="0"/>
              </w:numPr>
              <w:rPr>
                <w:rFonts w:hint="default" w:ascii="仿宋" w:hAnsi="仿宋" w:eastAsia="仿宋" w:cs="仿宋"/>
                <w:color w:val="auto"/>
                <w:kern w:val="2"/>
                <w:sz w:val="28"/>
                <w:szCs w:val="28"/>
                <w:highlight w:val="none"/>
                <w:lang w:val="en-US" w:eastAsia="zh-CN" w:bidi="ar-SA"/>
              </w:rPr>
            </w:pPr>
            <w:r>
              <w:rPr>
                <w:rFonts w:hint="default" w:ascii="仿宋" w:hAnsi="仿宋" w:eastAsia="仿宋" w:cs="仿宋"/>
                <w:color w:val="auto"/>
                <w:kern w:val="2"/>
                <w:sz w:val="28"/>
                <w:szCs w:val="28"/>
                <w:highlight w:val="none"/>
                <w:lang w:val="en-US" w:eastAsia="zh-CN" w:bidi="ar-SA"/>
              </w:rPr>
              <w:t>成都市新津区妇幼保健计划生育服务中心便携式彩色多普勒诊断仪</w:t>
            </w:r>
          </w:p>
        </w:tc>
        <w:tc>
          <w:tcPr>
            <w:tcW w:w="1292" w:type="dxa"/>
            <w:vAlign w:val="center"/>
          </w:tcPr>
          <w:p w14:paraId="1076E4E8">
            <w:pPr>
              <w:jc w:val="center"/>
              <w:rPr>
                <w:rFonts w:hint="default"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1</w:t>
            </w:r>
          </w:p>
        </w:tc>
        <w:tc>
          <w:tcPr>
            <w:tcW w:w="2216" w:type="dxa"/>
            <w:vAlign w:val="center"/>
          </w:tcPr>
          <w:p w14:paraId="224BB96F">
            <w:pPr>
              <w:jc w:val="center"/>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台</w:t>
            </w:r>
          </w:p>
        </w:tc>
        <w:tc>
          <w:tcPr>
            <w:tcW w:w="3361" w:type="dxa"/>
            <w:vAlign w:val="center"/>
          </w:tcPr>
          <w:p w14:paraId="045EFEA7">
            <w:pPr>
              <w:jc w:val="center"/>
              <w:rPr>
                <w:rFonts w:hint="eastAsia" w:ascii="仿宋" w:hAnsi="仿宋" w:eastAsia="仿宋" w:cs="仿宋"/>
                <w:color w:val="auto"/>
                <w:kern w:val="2"/>
                <w:sz w:val="28"/>
                <w:szCs w:val="28"/>
                <w:highlight w:val="none"/>
                <w:lang w:val="en-US" w:eastAsia="zh-CN" w:bidi="ar-SA"/>
              </w:rPr>
            </w:pPr>
          </w:p>
        </w:tc>
      </w:tr>
      <w:tr w14:paraId="337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0460" w:type="dxa"/>
            <w:gridSpan w:val="4"/>
            <w:vAlign w:val="center"/>
          </w:tcPr>
          <w:p w14:paraId="1C714BDD">
            <w:pPr>
              <w:pStyle w:val="4"/>
              <w:numPr>
                <w:ilvl w:val="0"/>
                <w:numId w:val="0"/>
              </w:numPr>
              <w:spacing w:after="0"/>
              <w:ind w:left="0" w:leftChars="0" w:firstLine="0" w:firstLineChars="0"/>
              <w:jc w:val="center"/>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大写总价（元）：</w:t>
            </w:r>
          </w:p>
        </w:tc>
      </w:tr>
    </w:tbl>
    <w:p w14:paraId="3C5F218F">
      <w:pPr>
        <w:pStyle w:val="2"/>
        <w:rPr>
          <w:rFonts w:hint="eastAsia"/>
          <w:highlight w:val="none"/>
          <w:lang w:val="en-US" w:eastAsia="zh-CN"/>
        </w:rPr>
      </w:pPr>
    </w:p>
    <w:p w14:paraId="1C402287">
      <w:pPr>
        <w:rPr>
          <w:rFonts w:hint="eastAsia"/>
          <w:highlight w:val="none"/>
          <w:lang w:val="en-US" w:eastAsia="zh-CN"/>
        </w:rPr>
      </w:pPr>
    </w:p>
    <w:p w14:paraId="59D0C6F3">
      <w:pPr>
        <w:jc w:val="left"/>
        <w:rPr>
          <w:rFonts w:hint="eastAsia" w:ascii="仿宋" w:hAnsi="仿宋" w:eastAsia="仿宋" w:cs="Times New Roman"/>
          <w:color w:val="0000FF"/>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备注：报价表如有列举项目不全的，各报价公司可以在原表上添项，不能改变原表格内容，单价报价最多保留小数点后两位。报价合计总价在列表末汇总，此报价单须单独密封。</w:t>
      </w:r>
    </w:p>
    <w:p w14:paraId="4111EBAA">
      <w:pPr>
        <w:rPr>
          <w:highlight w:val="none"/>
        </w:rPr>
      </w:pP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2CCA49-00AD-4C36-8962-15B3868E97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A93B920-C996-4ABA-B9E8-E9671683A169}"/>
  </w:font>
  <w:font w:name="方正小标宋简体">
    <w:panose1 w:val="02000000000000000000"/>
    <w:charset w:val="86"/>
    <w:family w:val="script"/>
    <w:pitch w:val="default"/>
    <w:sig w:usb0="00000001" w:usb1="08000000" w:usb2="00000000" w:usb3="00000000" w:csb0="00040000" w:csb1="00000000"/>
    <w:embedRegular r:id="rId3" w:fontKey="{1BD7B7DE-522F-414F-BCE6-742DA8B2711F}"/>
  </w:font>
  <w:font w:name="仿宋">
    <w:panose1 w:val="02010609060101010101"/>
    <w:charset w:val="86"/>
    <w:family w:val="auto"/>
    <w:pitch w:val="default"/>
    <w:sig w:usb0="800002BF" w:usb1="38CF7CFA" w:usb2="00000016" w:usb3="00000000" w:csb0="00040001" w:csb1="00000000"/>
    <w:embedRegular r:id="rId4" w:fontKey="{DBBF47AF-920F-450D-8A22-C32C768218A9}"/>
  </w:font>
  <w:font w:name="仿宋_GB2312">
    <w:altName w:val="仿宋"/>
    <w:panose1 w:val="02010609030101010101"/>
    <w:charset w:val="86"/>
    <w:family w:val="auto"/>
    <w:pitch w:val="default"/>
    <w:sig w:usb0="00000000" w:usb1="00000000" w:usb2="00000000" w:usb3="00000000" w:csb0="00040000" w:csb1="00000000"/>
    <w:embedRegular r:id="rId5" w:fontKey="{EA249854-C7FF-45D5-929A-94ED8A72EB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5"/>
    </w:pPr>
    <w:r>
      <w:rPr>
        <w:sz w:val="18"/>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019865">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14:paraId="7F019865">
                    <w:pPr>
                      <w:pStyle w:val="5"/>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decimal"/>
      <w:suff w:val="nothing"/>
      <w:lvlText w:val="%1、"/>
      <w:lvlJc w:val="left"/>
    </w:lvl>
  </w:abstractNum>
  <w:abstractNum w:abstractNumId="1">
    <w:nsid w:val="00000002"/>
    <w:multiLevelType w:val="singleLevel"/>
    <w:tmpl w:val="0000000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F3E10"/>
    <w:rsid w:val="25B159F7"/>
    <w:rsid w:val="3BB62107"/>
    <w:rsid w:val="627661EF"/>
    <w:rsid w:val="738F3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Salutation"/>
    <w:basedOn w:val="1"/>
    <w:next w:val="1"/>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w:basedOn w:val="1"/>
    <w:next w:val="1"/>
    <w:qFormat/>
    <w:uiPriority w:val="99"/>
    <w:pPr>
      <w:spacing w:after="120"/>
    </w:pPr>
    <w:rPr>
      <w:rFonts w:ascii="宋体" w:hAnsi="Times New Roman"/>
      <w:kern w:val="0"/>
      <w:sz w:val="34"/>
      <w:szCs w:val="20"/>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2549</Words>
  <Characters>2793</Characters>
  <Lines>0</Lines>
  <Paragraphs>0</Paragraphs>
  <TotalTime>3</TotalTime>
  <ScaleCrop>false</ScaleCrop>
  <LinksUpToDate>false</LinksUpToDate>
  <CharactersWithSpaces>2834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2026-08-19T01:45:00Z</dcterms:created>
  <dc:creator>李杨</dc:creator>
  <cp:lastModifiedBy>李杨</cp:lastModifiedBy>
  <dcterms:modified xsi:type="dcterms:W3CDTF">2026-08-20T06:23:13Z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36F04BD387B140BA8DB22F1336EB3E02_11</vt:lpwstr>
  </property>
  <property fmtid="{D5CDD505-2E9C-101B-9397-08002B2CF9AE}" pid="4" name="KSOTemplateDocerSaveRecord">
    <vt:lpwstr>eyJoZGlkIjoiZWNhY2Q1NTQ2N2E4NDQ3NjNkNDVlOGZlYjRmNTM4NDIiLCJ1c2VySWQiOiIzMDIyMTIzMjkifQ==</vt:lpwstr>
  </property>
</Properties>
</file>