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BADD2">
      <w:pPr>
        <w:jc w:val="both"/>
        <w:rPr>
          <w:rFonts w:hint="default"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采购需求</w:t>
      </w:r>
    </w:p>
    <w:p w14:paraId="297E5F9F">
      <w:pPr>
        <w:numPr>
          <w:ilvl w:val="0"/>
          <w:numId w:val="0"/>
        </w:numPr>
        <w:rPr>
          <w:rFonts w:hint="eastAsia" w:ascii="仿宋" w:hAnsi="仿宋" w:eastAsia="仿宋" w:cs="仿宋"/>
          <w:b w:val="0"/>
          <w:bCs w:val="0"/>
          <w:i w:val="0"/>
          <w:iCs w:val="0"/>
          <w:caps w:val="0"/>
          <w:color w:val="0F1115"/>
          <w:spacing w:val="0"/>
          <w:sz w:val="21"/>
          <w:szCs w:val="21"/>
          <w:shd w:val="clear" w:fill="FFFFFF"/>
          <w:lang w:eastAsia="zh-CN"/>
        </w:rPr>
      </w:pPr>
      <w:r>
        <w:rPr>
          <w:rFonts w:hint="eastAsia" w:ascii="微软雅黑" w:hAnsi="微软雅黑" w:eastAsia="微软雅黑" w:cs="微软雅黑"/>
          <w:b w:val="0"/>
          <w:bCs w:val="0"/>
          <w:sz w:val="21"/>
          <w:szCs w:val="21"/>
          <w:lang w:val="en-US" w:eastAsia="zh-CN"/>
        </w:rPr>
        <w:t>三、</w:t>
      </w:r>
      <w:r>
        <w:rPr>
          <w:rFonts w:hint="eastAsia" w:ascii="微软雅黑" w:hAnsi="微软雅黑" w:eastAsia="微软雅黑" w:cs="微软雅黑"/>
          <w:b w:val="0"/>
          <w:bCs w:val="0"/>
          <w:sz w:val="21"/>
          <w:szCs w:val="21"/>
        </w:rPr>
        <w:t>技术参数要求</w:t>
      </w:r>
      <w:r>
        <w:rPr>
          <w:rFonts w:hint="eastAsia" w:ascii="微软雅黑" w:hAnsi="微软雅黑" w:eastAsia="微软雅黑" w:cs="微软雅黑"/>
          <w:b w:val="0"/>
          <w:bCs w:val="0"/>
          <w:sz w:val="21"/>
          <w:szCs w:val="21"/>
        </w:rPr>
        <w:br w:type="textWrapping"/>
      </w:r>
      <w:r>
        <w:rPr>
          <w:rFonts w:hint="eastAsia" w:ascii="仿宋" w:hAnsi="仿宋" w:eastAsia="仿宋" w:cs="仿宋"/>
          <w:b w:val="0"/>
          <w:bCs w:val="0"/>
          <w:i w:val="0"/>
          <w:iCs w:val="0"/>
          <w:caps w:val="0"/>
          <w:color w:val="0F1115"/>
          <w:spacing w:val="0"/>
          <w:sz w:val="21"/>
          <w:szCs w:val="21"/>
          <w:shd w:val="clear" w:fill="FFFFFF"/>
          <w:lang w:eastAsia="zh-CN"/>
        </w:rPr>
        <w:t>（</w:t>
      </w:r>
      <w:r>
        <w:rPr>
          <w:rFonts w:hint="eastAsia" w:ascii="仿宋" w:hAnsi="仿宋" w:eastAsia="仿宋" w:cs="仿宋"/>
          <w:b w:val="0"/>
          <w:bCs w:val="0"/>
          <w:i w:val="0"/>
          <w:iCs w:val="0"/>
          <w:caps w:val="0"/>
          <w:color w:val="0F1115"/>
          <w:spacing w:val="0"/>
          <w:sz w:val="21"/>
          <w:szCs w:val="21"/>
          <w:shd w:val="clear" w:fill="FFFFFF"/>
        </w:rPr>
        <w:t>注：以下带“★”条款为实质性要求，不允许负偏离</w:t>
      </w:r>
      <w:r>
        <w:rPr>
          <w:rFonts w:hint="eastAsia" w:ascii="仿宋" w:hAnsi="仿宋" w:eastAsia="仿宋" w:cs="仿宋"/>
          <w:b w:val="0"/>
          <w:bCs w:val="0"/>
          <w:i w:val="0"/>
          <w:iCs w:val="0"/>
          <w:caps w:val="0"/>
          <w:color w:val="0F1115"/>
          <w:spacing w:val="0"/>
          <w:sz w:val="21"/>
          <w:szCs w:val="21"/>
          <w:shd w:val="clear" w:fill="FFFFFF"/>
          <w:lang w:eastAsia="zh-CN"/>
        </w:rPr>
        <w:t>。）</w:t>
      </w:r>
      <w:r>
        <w:rPr>
          <w:rFonts w:hint="eastAsia" w:ascii="仿宋" w:hAnsi="仿宋" w:eastAsia="仿宋" w:cs="仿宋"/>
          <w:b w:val="0"/>
          <w:bCs w:val="0"/>
          <w:i w:val="0"/>
          <w:iCs w:val="0"/>
          <w:caps w:val="0"/>
          <w:color w:val="0F1115"/>
          <w:spacing w:val="0"/>
          <w:sz w:val="21"/>
          <w:szCs w:val="21"/>
          <w:shd w:val="clear" w:fill="FFFFFF"/>
          <w:lang w:eastAsia="zh-CN"/>
        </w:rPr>
        <w:br w:type="textWrapping"/>
      </w:r>
      <w:r>
        <w:rPr>
          <w:rFonts w:hint="eastAsia" w:ascii="仿宋" w:hAnsi="仿宋" w:eastAsia="仿宋" w:cs="仿宋"/>
          <w:b w:val="0"/>
          <w:bCs w:val="0"/>
          <w:i w:val="0"/>
          <w:iCs w:val="0"/>
          <w:caps w:val="0"/>
          <w:color w:val="0F1115"/>
          <w:spacing w:val="0"/>
          <w:sz w:val="21"/>
          <w:szCs w:val="21"/>
          <w:shd w:val="clear" w:fill="FFFFFF"/>
          <w:lang w:val="en-US" w:eastAsia="zh-CN"/>
        </w:rPr>
        <w:t>设备一：构音评估与训练系统</w:t>
      </w:r>
    </w:p>
    <w:tbl>
      <w:tblPr>
        <w:tblStyle w:val="7"/>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176"/>
        <w:gridCol w:w="5664"/>
      </w:tblGrid>
      <w:tr w14:paraId="441B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DE704CA">
            <w:pPr>
              <w:widowControl w:val="0"/>
              <w:numPr>
                <w:ilvl w:val="0"/>
                <w:numId w:val="0"/>
              </w:numPr>
              <w:jc w:val="center"/>
              <w:rPr>
                <w:rFonts w:hint="eastAsia" w:ascii="仿宋" w:hAnsi="仿宋" w:eastAsia="仿宋" w:cs="仿宋"/>
                <w:b w:val="0"/>
                <w:bCs w:val="0"/>
                <w:color w:val="0000FF"/>
                <w:sz w:val="21"/>
                <w:szCs w:val="21"/>
                <w:vertAlign w:val="baseline"/>
              </w:rPr>
            </w:pPr>
            <w:r>
              <w:rPr>
                <w:rFonts w:hint="eastAsia" w:ascii="仿宋" w:hAnsi="仿宋" w:eastAsia="仿宋" w:cs="仿宋"/>
                <w:b w:val="0"/>
                <w:bCs w:val="0"/>
                <w:sz w:val="21"/>
                <w:szCs w:val="21"/>
              </w:rPr>
              <w:t>序号</w:t>
            </w:r>
          </w:p>
        </w:tc>
        <w:tc>
          <w:tcPr>
            <w:tcW w:w="2176" w:type="dxa"/>
            <w:vAlign w:val="center"/>
          </w:tcPr>
          <w:p w14:paraId="1E45C441">
            <w:pPr>
              <w:widowControl w:val="0"/>
              <w:numPr>
                <w:ilvl w:val="0"/>
                <w:numId w:val="0"/>
              </w:numPr>
              <w:jc w:val="center"/>
              <w:rPr>
                <w:rFonts w:hint="default" w:ascii="仿宋" w:hAnsi="仿宋" w:eastAsia="仿宋" w:cs="仿宋"/>
                <w:b w:val="0"/>
                <w:bCs w:val="0"/>
                <w:color w:val="0000FF"/>
                <w:sz w:val="21"/>
                <w:szCs w:val="21"/>
                <w:vertAlign w:val="baseline"/>
                <w:lang w:val="en-US" w:eastAsia="zh-CN"/>
              </w:rPr>
            </w:pPr>
            <w:r>
              <w:rPr>
                <w:rFonts w:hint="eastAsia" w:ascii="仿宋" w:hAnsi="仿宋" w:eastAsia="仿宋" w:cs="仿宋"/>
                <w:b w:val="0"/>
                <w:bCs w:val="0"/>
                <w:sz w:val="21"/>
                <w:szCs w:val="21"/>
                <w:lang w:val="en-US" w:eastAsia="zh-CN"/>
              </w:rPr>
              <w:t>需求指标</w:t>
            </w:r>
          </w:p>
        </w:tc>
        <w:tc>
          <w:tcPr>
            <w:tcW w:w="5664" w:type="dxa"/>
            <w:vAlign w:val="center"/>
          </w:tcPr>
          <w:p w14:paraId="22205B90">
            <w:pPr>
              <w:widowControl w:val="0"/>
              <w:numPr>
                <w:ilvl w:val="0"/>
                <w:numId w:val="0"/>
              </w:numPr>
              <w:jc w:val="center"/>
              <w:rPr>
                <w:rFonts w:hint="eastAsia" w:ascii="仿宋" w:hAnsi="仿宋" w:eastAsia="仿宋" w:cs="仿宋"/>
                <w:b w:val="0"/>
                <w:bCs w:val="0"/>
                <w:color w:val="0000FF"/>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技术参数</w:t>
            </w:r>
          </w:p>
        </w:tc>
      </w:tr>
      <w:tr w14:paraId="23BB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50C49B6">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一</w:t>
            </w:r>
          </w:p>
        </w:tc>
        <w:tc>
          <w:tcPr>
            <w:tcW w:w="2176" w:type="dxa"/>
            <w:vAlign w:val="center"/>
          </w:tcPr>
          <w:p w14:paraId="12C49C07">
            <w:pPr>
              <w:widowControl w:val="0"/>
              <w:numPr>
                <w:ilvl w:val="0"/>
                <w:numId w:val="0"/>
              </w:numPr>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计算机硬件配置</w:t>
            </w:r>
          </w:p>
        </w:tc>
        <w:tc>
          <w:tcPr>
            <w:tcW w:w="5664" w:type="dxa"/>
            <w:vAlign w:val="center"/>
          </w:tcPr>
          <w:p w14:paraId="1CD9ECFD">
            <w:pPr>
              <w:widowControl w:val="0"/>
              <w:numPr>
                <w:ilvl w:val="0"/>
                <w:numId w:val="0"/>
              </w:numPr>
              <w:jc w:val="left"/>
              <w:rPr>
                <w:rFonts w:hint="eastAsia" w:ascii="仿宋" w:hAnsi="仿宋" w:eastAsia="仿宋" w:cs="仿宋"/>
                <w:sz w:val="21"/>
                <w:szCs w:val="21"/>
                <w:lang w:val="en-US" w:eastAsia="zh-CN"/>
              </w:rPr>
            </w:pPr>
          </w:p>
        </w:tc>
      </w:tr>
      <w:tr w14:paraId="50D9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095D49D">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2176" w:type="dxa"/>
            <w:vAlign w:val="center"/>
          </w:tcPr>
          <w:p w14:paraId="70CD5EC1">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CPU</w:t>
            </w:r>
          </w:p>
        </w:tc>
        <w:tc>
          <w:tcPr>
            <w:tcW w:w="5664" w:type="dxa"/>
            <w:vAlign w:val="center"/>
          </w:tcPr>
          <w:p w14:paraId="5C74435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Core i3 或以上</w:t>
            </w:r>
          </w:p>
        </w:tc>
      </w:tr>
      <w:tr w14:paraId="0E98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4" w:type="dxa"/>
            <w:vAlign w:val="center"/>
          </w:tcPr>
          <w:p w14:paraId="4F5A1039">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2176" w:type="dxa"/>
            <w:vAlign w:val="center"/>
          </w:tcPr>
          <w:p w14:paraId="02CBBA14">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内存</w:t>
            </w:r>
          </w:p>
        </w:tc>
        <w:tc>
          <w:tcPr>
            <w:tcW w:w="5664" w:type="dxa"/>
            <w:vAlign w:val="center"/>
          </w:tcPr>
          <w:p w14:paraId="3BA60E9C">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4GB 或以上</w:t>
            </w:r>
          </w:p>
        </w:tc>
      </w:tr>
      <w:tr w14:paraId="3058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357C0A4">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176" w:type="dxa"/>
            <w:vAlign w:val="center"/>
          </w:tcPr>
          <w:p w14:paraId="0C5BCD0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硬盘</w:t>
            </w:r>
          </w:p>
        </w:tc>
        <w:tc>
          <w:tcPr>
            <w:tcW w:w="5664" w:type="dxa"/>
            <w:vAlign w:val="center"/>
          </w:tcPr>
          <w:p w14:paraId="10F76D7B">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160 GB 或以上</w:t>
            </w:r>
          </w:p>
        </w:tc>
      </w:tr>
      <w:tr w14:paraId="2F6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7E18297">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2176" w:type="dxa"/>
            <w:vAlign w:val="center"/>
          </w:tcPr>
          <w:p w14:paraId="6946BCAF">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显卡</w:t>
            </w:r>
          </w:p>
        </w:tc>
        <w:tc>
          <w:tcPr>
            <w:tcW w:w="5664" w:type="dxa"/>
            <w:vAlign w:val="center"/>
          </w:tcPr>
          <w:p w14:paraId="250160B0">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集成显卡或以上</w:t>
            </w:r>
          </w:p>
        </w:tc>
      </w:tr>
      <w:tr w14:paraId="2361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1B36140">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2176" w:type="dxa"/>
            <w:vAlign w:val="center"/>
          </w:tcPr>
          <w:p w14:paraId="43CA7B0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声卡</w:t>
            </w:r>
          </w:p>
        </w:tc>
        <w:tc>
          <w:tcPr>
            <w:tcW w:w="5664" w:type="dxa"/>
            <w:vAlign w:val="center"/>
          </w:tcPr>
          <w:p w14:paraId="3BEF737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集成声卡或以上</w:t>
            </w:r>
          </w:p>
        </w:tc>
      </w:tr>
      <w:tr w14:paraId="3030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CC4DA0C">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2176" w:type="dxa"/>
            <w:vAlign w:val="center"/>
          </w:tcPr>
          <w:p w14:paraId="69FECF66">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操作系统</w:t>
            </w:r>
          </w:p>
        </w:tc>
        <w:tc>
          <w:tcPr>
            <w:tcW w:w="5664" w:type="dxa"/>
            <w:vAlign w:val="center"/>
          </w:tcPr>
          <w:p w14:paraId="77C2A417">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Windows7 及以上</w:t>
            </w:r>
          </w:p>
        </w:tc>
      </w:tr>
      <w:tr w14:paraId="7ADF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C46E43F">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二</w:t>
            </w:r>
          </w:p>
        </w:tc>
        <w:tc>
          <w:tcPr>
            <w:tcW w:w="2176" w:type="dxa"/>
            <w:vAlign w:val="center"/>
          </w:tcPr>
          <w:p w14:paraId="5B538226">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单通道低通滤波器</w:t>
            </w:r>
          </w:p>
        </w:tc>
        <w:tc>
          <w:tcPr>
            <w:tcW w:w="5664" w:type="dxa"/>
            <w:vAlign w:val="center"/>
          </w:tcPr>
          <w:p w14:paraId="7803D585">
            <w:pPr>
              <w:widowControl w:val="0"/>
              <w:numPr>
                <w:ilvl w:val="0"/>
                <w:numId w:val="0"/>
              </w:numPr>
              <w:jc w:val="left"/>
              <w:rPr>
                <w:rFonts w:hint="eastAsia" w:ascii="仿宋" w:hAnsi="仿宋" w:eastAsia="仿宋" w:cs="仿宋"/>
                <w:sz w:val="21"/>
                <w:szCs w:val="21"/>
                <w:lang w:val="en-US" w:eastAsia="zh-CN"/>
              </w:rPr>
            </w:pPr>
          </w:p>
        </w:tc>
      </w:tr>
      <w:tr w14:paraId="4778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CD3A943">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2176" w:type="dxa"/>
            <w:vAlign w:val="center"/>
          </w:tcPr>
          <w:p w14:paraId="58CC3DC5">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增益档位</w:t>
            </w:r>
          </w:p>
        </w:tc>
        <w:tc>
          <w:tcPr>
            <w:tcW w:w="5664" w:type="dxa"/>
            <w:vAlign w:val="center"/>
          </w:tcPr>
          <w:p w14:paraId="0D41CB5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★增益 /dB，分五档：20、25、30、35、40，每档误差：±1dB（100Hz～700Hz 基频范围内）</w:t>
            </w:r>
          </w:p>
        </w:tc>
      </w:tr>
      <w:tr w14:paraId="678E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94F31D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2176" w:type="dxa"/>
            <w:vAlign w:val="center"/>
          </w:tcPr>
          <w:p w14:paraId="315D5BD0">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低通滤波档位</w:t>
            </w:r>
          </w:p>
        </w:tc>
        <w:tc>
          <w:tcPr>
            <w:tcW w:w="5664" w:type="dxa"/>
            <w:vAlign w:val="center"/>
          </w:tcPr>
          <w:p w14:paraId="49C0C9C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★低通滤波 / KHz，分四档：5、10、15、20，每档误差：≤4%</w:t>
            </w:r>
          </w:p>
        </w:tc>
      </w:tr>
      <w:tr w14:paraId="17D7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6E07463">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176" w:type="dxa"/>
            <w:vAlign w:val="center"/>
          </w:tcPr>
          <w:p w14:paraId="3A04A487">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静止噪声</w:t>
            </w:r>
          </w:p>
        </w:tc>
        <w:tc>
          <w:tcPr>
            <w:tcW w:w="5664" w:type="dxa"/>
            <w:vAlign w:val="center"/>
          </w:tcPr>
          <w:p w14:paraId="3C123A6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★当无信号输入时，静止噪声≤1mV</w:t>
            </w:r>
          </w:p>
        </w:tc>
      </w:tr>
      <w:tr w14:paraId="1185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E45E4BF">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2176" w:type="dxa"/>
            <w:vAlign w:val="center"/>
          </w:tcPr>
          <w:p w14:paraId="59BA7FB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信号频率误差</w:t>
            </w:r>
          </w:p>
        </w:tc>
        <w:tc>
          <w:tcPr>
            <w:tcW w:w="5664" w:type="dxa"/>
            <w:vAlign w:val="center"/>
          </w:tcPr>
          <w:p w14:paraId="32FA52A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★信号频率误差：±4%</w:t>
            </w:r>
          </w:p>
        </w:tc>
      </w:tr>
      <w:tr w14:paraId="6ECC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DD2D58F">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三</w:t>
            </w:r>
          </w:p>
        </w:tc>
        <w:tc>
          <w:tcPr>
            <w:tcW w:w="2176" w:type="dxa"/>
            <w:vAlign w:val="center"/>
          </w:tcPr>
          <w:p w14:paraId="4176541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测量距离</w:t>
            </w:r>
          </w:p>
        </w:tc>
        <w:tc>
          <w:tcPr>
            <w:tcW w:w="5664" w:type="dxa"/>
            <w:vAlign w:val="center"/>
          </w:tcPr>
          <w:p w14:paraId="6EBAD3B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系统可提供主客观相结合的构音功能评估，包含构音器官评估、运动评估、发音评估和交谈评估，能分析出下颌距、舌距、舌域距、口腔轮替运动速率、浊音起始时间、音征长度、走势、送气时间比率、清浊音比率、语音类型和构音清晰度等语音学参数及相关的舌位图、声位图等。系统提供异常构音矫治、构音器官运动、构音运动训练、语音训练和绕口令5个有针对性的训练模块，设计了不同难度、灵敏度的趣味康复训练内容。此外系统提供语音库管理，便于收集管理不同方言人群的语音学参数，提高评估的准确度和训练的精准度。</w:t>
            </w:r>
          </w:p>
        </w:tc>
      </w:tr>
      <w:tr w14:paraId="632E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C6F81B7">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四</w:t>
            </w:r>
          </w:p>
        </w:tc>
        <w:tc>
          <w:tcPr>
            <w:tcW w:w="2176" w:type="dxa"/>
            <w:vAlign w:val="center"/>
          </w:tcPr>
          <w:p w14:paraId="02E7CAF7">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双屏显示技术</w:t>
            </w:r>
          </w:p>
        </w:tc>
        <w:tc>
          <w:tcPr>
            <w:tcW w:w="5664" w:type="dxa"/>
            <w:vAlign w:val="center"/>
          </w:tcPr>
          <w:p w14:paraId="407B4CA5">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系统依据独特的分屏功能设计，通过软件多窗口交互控制机制，实现了不同屏幕显示不同内容的双屏功能；其中老师为主控屏，受训者为带触摸功能的操控制屏。主控屏上提供监控窗口，可通过摄像头实时采集图像，方便老师实时观察受训者的反应并控制评估过程的进行，可清楚地了解受训者的实时评估情况。</w:t>
            </w:r>
          </w:p>
        </w:tc>
      </w:tr>
      <w:tr w14:paraId="4469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9670FB8">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五</w:t>
            </w:r>
          </w:p>
        </w:tc>
        <w:tc>
          <w:tcPr>
            <w:tcW w:w="2176" w:type="dxa"/>
            <w:vAlign w:val="center"/>
          </w:tcPr>
          <w:p w14:paraId="33AFC89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评估模块</w:t>
            </w:r>
          </w:p>
        </w:tc>
        <w:tc>
          <w:tcPr>
            <w:tcW w:w="5664" w:type="dxa"/>
            <w:vAlign w:val="center"/>
          </w:tcPr>
          <w:p w14:paraId="5E71B463">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分为器官评估、运动评估、发音评估和交谈评估四种不同层次主观和客观结合的评估模式，方便老师对受训者的实际水平进行选择性评估。</w:t>
            </w:r>
          </w:p>
          <w:p w14:paraId="1E2549E0">
            <w:pPr>
              <w:widowControl w:val="0"/>
              <w:numPr>
                <w:ilvl w:val="0"/>
                <w:numId w:val="0"/>
              </w:numPr>
              <w:jc w:val="left"/>
              <w:rPr>
                <w:rFonts w:hint="eastAsia" w:ascii="仿宋" w:hAnsi="仿宋" w:eastAsia="仿宋" w:cs="仿宋"/>
                <w:sz w:val="21"/>
                <w:szCs w:val="21"/>
                <w:lang w:val="en-US" w:eastAsia="zh-CN"/>
              </w:rPr>
            </w:pPr>
          </w:p>
        </w:tc>
      </w:tr>
      <w:tr w14:paraId="153C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5A7D0DD">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六</w:t>
            </w:r>
          </w:p>
        </w:tc>
        <w:tc>
          <w:tcPr>
            <w:tcW w:w="2176" w:type="dxa"/>
            <w:vAlign w:val="center"/>
          </w:tcPr>
          <w:p w14:paraId="5DF9791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个体化康复计划</w:t>
            </w:r>
          </w:p>
        </w:tc>
        <w:tc>
          <w:tcPr>
            <w:tcW w:w="5664" w:type="dxa"/>
            <w:vAlign w:val="center"/>
          </w:tcPr>
          <w:p w14:paraId="23D438CF">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康复训练能开展异常构音矫治、构音器官运动、构音运动训练、语音训练、绕口令五个训练模块。能根据构音功能评估提供动态、难度不同、灵敏度不同的个体化康复计划。</w:t>
            </w:r>
          </w:p>
          <w:p w14:paraId="6F252305">
            <w:pPr>
              <w:widowControl w:val="0"/>
              <w:numPr>
                <w:ilvl w:val="0"/>
                <w:numId w:val="0"/>
              </w:numPr>
              <w:jc w:val="left"/>
              <w:rPr>
                <w:rFonts w:hint="eastAsia" w:ascii="仿宋" w:hAnsi="仿宋" w:eastAsia="仿宋" w:cs="仿宋"/>
                <w:sz w:val="21"/>
                <w:szCs w:val="21"/>
                <w:lang w:val="en-US" w:eastAsia="zh-CN"/>
              </w:rPr>
            </w:pPr>
          </w:p>
        </w:tc>
      </w:tr>
      <w:tr w14:paraId="7518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F0DE7E">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七</w:t>
            </w:r>
          </w:p>
        </w:tc>
        <w:tc>
          <w:tcPr>
            <w:tcW w:w="2176" w:type="dxa"/>
            <w:vAlign w:val="center"/>
          </w:tcPr>
          <w:p w14:paraId="02C7F48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语音库管理</w:t>
            </w:r>
          </w:p>
        </w:tc>
        <w:tc>
          <w:tcPr>
            <w:tcW w:w="5664" w:type="dxa"/>
            <w:vAlign w:val="center"/>
          </w:tcPr>
          <w:p w14:paraId="36ADD2CC">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用户可自定义添加、修改、删除语音库的语音，亦可查看某一个人的语音特征原始参数信息和某一个子语音库的原始参数信息；该语音库还根据年龄和性别分为了四大语音字库：男成年、女成年、男儿童、女儿童。每个语音子库的语音又分别由四大部分组成：核心韵母、复韵母、鼻韵母和辅音。</w:t>
            </w:r>
          </w:p>
        </w:tc>
      </w:tr>
      <w:tr w14:paraId="3B3B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93DD866">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八</w:t>
            </w:r>
          </w:p>
        </w:tc>
        <w:tc>
          <w:tcPr>
            <w:tcW w:w="2176" w:type="dxa"/>
            <w:vAlign w:val="center"/>
          </w:tcPr>
          <w:p w14:paraId="2C0745F7">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标准语音特征参数</w:t>
            </w:r>
          </w:p>
        </w:tc>
        <w:tc>
          <w:tcPr>
            <w:tcW w:w="5664" w:type="dxa"/>
            <w:vAlign w:val="center"/>
          </w:tcPr>
          <w:p w14:paraId="318CA4A0">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★通过采集正常人的各种语音的特征，记录元音和辅音的语音特征的均值，标准差，均值加1.96标准差、均值减1.96标准差，为筛查评估和康复训练部分评估和训练提供标准的语音识别特征参数。</w:t>
            </w:r>
          </w:p>
          <w:p w14:paraId="3EA2DDA6">
            <w:pPr>
              <w:widowControl w:val="0"/>
              <w:numPr>
                <w:ilvl w:val="0"/>
                <w:numId w:val="0"/>
              </w:numPr>
              <w:jc w:val="center"/>
              <w:rPr>
                <w:rFonts w:hint="eastAsia" w:ascii="仿宋" w:hAnsi="仿宋" w:eastAsia="仿宋" w:cs="仿宋"/>
                <w:sz w:val="21"/>
                <w:szCs w:val="21"/>
                <w:lang w:val="en-US" w:eastAsia="zh-CN"/>
              </w:rPr>
            </w:pPr>
          </w:p>
        </w:tc>
      </w:tr>
      <w:tr w14:paraId="503D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704" w:type="dxa"/>
            <w:vAlign w:val="center"/>
          </w:tcPr>
          <w:p w14:paraId="4F5D543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九</w:t>
            </w:r>
          </w:p>
        </w:tc>
        <w:tc>
          <w:tcPr>
            <w:tcW w:w="2176" w:type="dxa"/>
            <w:vAlign w:val="center"/>
          </w:tcPr>
          <w:p w14:paraId="57D8F08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精细化用户管理系统</w:t>
            </w:r>
          </w:p>
        </w:tc>
        <w:tc>
          <w:tcPr>
            <w:tcW w:w="5664" w:type="dxa"/>
            <w:vAlign w:val="center"/>
          </w:tcPr>
          <w:p w14:paraId="508731DA">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★精细化用户管理系统，统一用户基础属性、形成结构化管理框架，包含管理员、医生、治疗师、患者四种用户角色，实现系统数据分层管理。</w:t>
            </w:r>
          </w:p>
        </w:tc>
      </w:tr>
    </w:tbl>
    <w:p w14:paraId="1D819AEE">
      <w:pPr>
        <w:numPr>
          <w:ilvl w:val="0"/>
          <w:numId w:val="0"/>
        </w:numPr>
        <w:rPr>
          <w:rFonts w:hint="eastAsia" w:ascii="仿宋" w:hAnsi="仿宋" w:eastAsia="仿宋" w:cs="仿宋"/>
          <w:b w:val="0"/>
          <w:bCs w:val="0"/>
          <w:i w:val="0"/>
          <w:iCs w:val="0"/>
          <w:caps w:val="0"/>
          <w:color w:val="0F1115"/>
          <w:spacing w:val="0"/>
          <w:sz w:val="21"/>
          <w:szCs w:val="21"/>
          <w:shd w:val="clear" w:fill="FFFFFF"/>
          <w:lang w:val="en-US" w:eastAsia="zh-CN"/>
        </w:rPr>
      </w:pPr>
    </w:p>
    <w:p w14:paraId="61CD9D6C">
      <w:pPr>
        <w:numPr>
          <w:ilvl w:val="0"/>
          <w:numId w:val="0"/>
        </w:numPr>
        <w:rPr>
          <w:rFonts w:hint="eastAsia" w:ascii="仿宋" w:hAnsi="仿宋" w:eastAsia="仿宋" w:cs="仿宋"/>
          <w:b w:val="0"/>
          <w:bCs w:val="0"/>
          <w:i w:val="0"/>
          <w:iCs w:val="0"/>
          <w:caps w:val="0"/>
          <w:color w:val="0F1115"/>
          <w:spacing w:val="0"/>
          <w:sz w:val="21"/>
          <w:szCs w:val="21"/>
          <w:shd w:val="clear" w:fill="FFFFFF"/>
          <w:lang w:val="en-US" w:eastAsia="zh-CN"/>
        </w:rPr>
      </w:pPr>
    </w:p>
    <w:p w14:paraId="23C6257C">
      <w:pPr>
        <w:numPr>
          <w:ilvl w:val="0"/>
          <w:numId w:val="0"/>
        </w:numPr>
        <w:rPr>
          <w:rFonts w:hint="eastAsia" w:ascii="仿宋" w:hAnsi="仿宋" w:eastAsia="仿宋" w:cs="仿宋"/>
          <w:b w:val="0"/>
          <w:bCs w:val="0"/>
          <w:i w:val="0"/>
          <w:iCs w:val="0"/>
          <w:caps w:val="0"/>
          <w:color w:val="0F1115"/>
          <w:spacing w:val="0"/>
          <w:sz w:val="21"/>
          <w:szCs w:val="21"/>
          <w:shd w:val="clear" w:fill="FFFFFF"/>
          <w:lang w:val="en-US" w:eastAsia="zh-CN"/>
        </w:rPr>
      </w:pPr>
      <w:r>
        <w:rPr>
          <w:rFonts w:hint="eastAsia" w:ascii="仿宋" w:hAnsi="仿宋" w:eastAsia="仿宋" w:cs="仿宋"/>
          <w:b w:val="0"/>
          <w:bCs w:val="0"/>
          <w:i w:val="0"/>
          <w:iCs w:val="0"/>
          <w:caps w:val="0"/>
          <w:color w:val="0F1115"/>
          <w:spacing w:val="0"/>
          <w:sz w:val="21"/>
          <w:szCs w:val="21"/>
          <w:shd w:val="clear" w:fill="FFFFFF"/>
          <w:lang w:val="en-US" w:eastAsia="zh-CN"/>
        </w:rPr>
        <w:t>设备二：注意力训练设备</w:t>
      </w:r>
    </w:p>
    <w:tbl>
      <w:tblPr>
        <w:tblStyle w:val="7"/>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076"/>
        <w:gridCol w:w="5764"/>
      </w:tblGrid>
      <w:tr w14:paraId="5D2C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CC3A628">
            <w:pPr>
              <w:widowControl w:val="0"/>
              <w:numPr>
                <w:ilvl w:val="0"/>
                <w:numId w:val="0"/>
              </w:numPr>
              <w:jc w:val="center"/>
              <w:rPr>
                <w:rFonts w:hint="eastAsia" w:ascii="仿宋" w:hAnsi="仿宋" w:eastAsia="仿宋" w:cs="仿宋"/>
                <w:b w:val="0"/>
                <w:bCs w:val="0"/>
                <w:color w:val="0000FF"/>
                <w:sz w:val="21"/>
                <w:szCs w:val="21"/>
                <w:vertAlign w:val="baseline"/>
              </w:rPr>
            </w:pPr>
            <w:r>
              <w:rPr>
                <w:rFonts w:hint="eastAsia" w:ascii="仿宋" w:hAnsi="仿宋" w:eastAsia="仿宋" w:cs="仿宋"/>
                <w:b w:val="0"/>
                <w:bCs w:val="0"/>
                <w:sz w:val="21"/>
                <w:szCs w:val="21"/>
              </w:rPr>
              <w:t>序号</w:t>
            </w:r>
          </w:p>
        </w:tc>
        <w:tc>
          <w:tcPr>
            <w:tcW w:w="2076" w:type="dxa"/>
            <w:vAlign w:val="center"/>
          </w:tcPr>
          <w:p w14:paraId="6CAF9AEE">
            <w:pPr>
              <w:widowControl w:val="0"/>
              <w:numPr>
                <w:ilvl w:val="0"/>
                <w:numId w:val="0"/>
              </w:numPr>
              <w:jc w:val="center"/>
              <w:rPr>
                <w:rFonts w:hint="default" w:ascii="仿宋" w:hAnsi="仿宋" w:eastAsia="仿宋" w:cs="仿宋"/>
                <w:b w:val="0"/>
                <w:bCs w:val="0"/>
                <w:color w:val="0000FF"/>
                <w:sz w:val="21"/>
                <w:szCs w:val="21"/>
                <w:vertAlign w:val="baseline"/>
                <w:lang w:val="en-US" w:eastAsia="zh-CN"/>
              </w:rPr>
            </w:pPr>
            <w:r>
              <w:rPr>
                <w:rFonts w:hint="eastAsia" w:ascii="仿宋" w:hAnsi="仿宋" w:eastAsia="仿宋" w:cs="仿宋"/>
                <w:b w:val="0"/>
                <w:bCs w:val="0"/>
                <w:sz w:val="21"/>
                <w:szCs w:val="21"/>
                <w:lang w:val="en-US" w:eastAsia="zh-CN"/>
              </w:rPr>
              <w:t>需求指标</w:t>
            </w:r>
          </w:p>
        </w:tc>
        <w:tc>
          <w:tcPr>
            <w:tcW w:w="5764" w:type="dxa"/>
            <w:vAlign w:val="center"/>
          </w:tcPr>
          <w:p w14:paraId="255BF74E">
            <w:pPr>
              <w:widowControl w:val="0"/>
              <w:numPr>
                <w:ilvl w:val="0"/>
                <w:numId w:val="0"/>
              </w:numPr>
              <w:jc w:val="center"/>
              <w:rPr>
                <w:rFonts w:hint="eastAsia" w:ascii="仿宋" w:hAnsi="仿宋" w:eastAsia="仿宋" w:cs="仿宋"/>
                <w:b w:val="0"/>
                <w:bCs w:val="0"/>
                <w:color w:val="0000FF"/>
                <w:sz w:val="21"/>
                <w:szCs w:val="21"/>
                <w:vertAlign w:val="baseline"/>
                <w:lang w:val="en-US" w:eastAsia="zh-CN"/>
              </w:rPr>
            </w:pPr>
            <w:r>
              <w:rPr>
                <w:rFonts w:hint="eastAsia" w:ascii="仿宋" w:hAnsi="仿宋" w:eastAsia="仿宋" w:cs="仿宋"/>
                <w:b w:val="0"/>
                <w:bCs w:val="0"/>
                <w:color w:val="auto"/>
                <w:sz w:val="21"/>
                <w:szCs w:val="21"/>
                <w:vertAlign w:val="baseline"/>
                <w:lang w:val="en-US" w:eastAsia="zh-CN"/>
              </w:rPr>
              <w:t>技术参数</w:t>
            </w:r>
          </w:p>
        </w:tc>
      </w:tr>
      <w:tr w14:paraId="6232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C516DB7">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一</w:t>
            </w:r>
          </w:p>
        </w:tc>
        <w:tc>
          <w:tcPr>
            <w:tcW w:w="2076" w:type="dxa"/>
            <w:vAlign w:val="center"/>
          </w:tcPr>
          <w:p w14:paraId="7000E857">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设备功能</w:t>
            </w:r>
          </w:p>
        </w:tc>
        <w:tc>
          <w:tcPr>
            <w:tcW w:w="5764" w:type="dxa"/>
            <w:vAlign w:val="center"/>
          </w:tcPr>
          <w:p w14:paraId="7B8195B4">
            <w:pPr>
              <w:widowControl w:val="0"/>
              <w:numPr>
                <w:ilvl w:val="0"/>
                <w:numId w:val="0"/>
              </w:numPr>
              <w:jc w:val="left"/>
              <w:rPr>
                <w:rFonts w:hint="eastAsia" w:ascii="仿宋" w:hAnsi="仿宋" w:eastAsia="仿宋" w:cs="仿宋"/>
                <w:sz w:val="21"/>
                <w:szCs w:val="21"/>
                <w:lang w:val="en-US" w:eastAsia="zh-CN"/>
              </w:rPr>
            </w:pPr>
          </w:p>
        </w:tc>
      </w:tr>
      <w:tr w14:paraId="26E3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DC5117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2076" w:type="dxa"/>
            <w:vAlign w:val="center"/>
          </w:tcPr>
          <w:p w14:paraId="0F4B3EFA">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管理功能</w:t>
            </w:r>
          </w:p>
        </w:tc>
        <w:tc>
          <w:tcPr>
            <w:tcW w:w="5764" w:type="dxa"/>
            <w:vAlign w:val="center"/>
          </w:tcPr>
          <w:p w14:paraId="540370F5">
            <w:pPr>
              <w:widowControl w:val="0"/>
              <w:numPr>
                <w:ilvl w:val="0"/>
                <w:numId w:val="0"/>
              </w:numPr>
              <w:jc w:val="left"/>
              <w:rPr>
                <w:rFonts w:hint="eastAsia" w:ascii="仿宋" w:hAnsi="仿宋" w:eastAsia="仿宋" w:cs="仿宋"/>
                <w:sz w:val="21"/>
                <w:szCs w:val="21"/>
                <w:lang w:eastAsia="zh-CN"/>
              </w:rPr>
            </w:pPr>
            <w:r>
              <w:rPr>
                <w:rFonts w:hint="eastAsia" w:ascii="仿宋" w:hAnsi="仿宋" w:eastAsia="仿宋" w:cs="仿宋"/>
                <w:sz w:val="21"/>
                <w:szCs w:val="21"/>
                <w:lang w:val="en-US" w:eastAsia="zh-CN"/>
              </w:rPr>
              <w:t>★具备注意力测评、注意力康复训练以及大数据分析管理功能，系统配套数据存储资源</w:t>
            </w:r>
          </w:p>
        </w:tc>
      </w:tr>
      <w:tr w14:paraId="1EB4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4" w:type="dxa"/>
            <w:vAlign w:val="center"/>
          </w:tcPr>
          <w:p w14:paraId="2F58B132">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2076" w:type="dxa"/>
            <w:vAlign w:val="center"/>
          </w:tcPr>
          <w:p w14:paraId="6DE441DC">
            <w:pPr>
              <w:widowControl w:val="0"/>
              <w:numPr>
                <w:ilvl w:val="0"/>
                <w:numId w:val="0"/>
              </w:numPr>
              <w:jc w:val="left"/>
              <w:rPr>
                <w:rFonts w:hint="eastAsia" w:ascii="仿宋" w:hAnsi="仿宋" w:eastAsia="仿宋" w:cs="仿宋"/>
                <w:sz w:val="21"/>
                <w:szCs w:val="21"/>
              </w:rPr>
            </w:pPr>
            <w:r>
              <w:rPr>
                <w:rFonts w:hint="eastAsia" w:ascii="仿宋" w:hAnsi="仿宋" w:eastAsia="仿宋" w:cs="仿宋"/>
                <w:sz w:val="21"/>
                <w:szCs w:val="21"/>
                <w:lang w:val="en-US" w:eastAsia="zh-CN"/>
              </w:rPr>
              <w:t>训练维度</w:t>
            </w:r>
          </w:p>
        </w:tc>
        <w:tc>
          <w:tcPr>
            <w:tcW w:w="5764" w:type="dxa"/>
            <w:vAlign w:val="center"/>
          </w:tcPr>
          <w:p w14:paraId="1D94BDE3">
            <w:pPr>
              <w:widowControl w:val="0"/>
              <w:numPr>
                <w:ilvl w:val="0"/>
                <w:numId w:val="0"/>
              </w:numPr>
              <w:jc w:val="left"/>
              <w:rPr>
                <w:rFonts w:hint="eastAsia" w:ascii="仿宋" w:hAnsi="仿宋" w:eastAsia="仿宋" w:cs="仿宋"/>
                <w:sz w:val="21"/>
                <w:szCs w:val="21"/>
                <w:lang w:eastAsia="zh-CN"/>
              </w:rPr>
            </w:pPr>
            <w:r>
              <w:rPr>
                <w:rFonts w:hint="eastAsia" w:ascii="仿宋" w:hAnsi="仿宋" w:eastAsia="仿宋" w:cs="仿宋"/>
                <w:sz w:val="21"/>
                <w:szCs w:val="21"/>
                <w:lang w:val="en-US" w:eastAsia="zh-CN"/>
              </w:rPr>
              <w:t>训练维度至少包含专注力、反应与执行能力、记忆力、逻辑思维能力、观察和认知能力、视听觉和理解能力六个方面的评估和训练</w:t>
            </w:r>
          </w:p>
        </w:tc>
      </w:tr>
      <w:tr w14:paraId="38D5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64008E9">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2076" w:type="dxa"/>
            <w:vAlign w:val="center"/>
          </w:tcPr>
          <w:p w14:paraId="50035C17">
            <w:pPr>
              <w:widowControl w:val="0"/>
              <w:numPr>
                <w:ilvl w:val="0"/>
                <w:numId w:val="0"/>
              </w:numPr>
              <w:jc w:val="left"/>
              <w:rPr>
                <w:rFonts w:hint="eastAsia" w:ascii="仿宋" w:hAnsi="仿宋" w:eastAsia="仿宋" w:cs="仿宋"/>
                <w:sz w:val="21"/>
                <w:szCs w:val="21"/>
              </w:rPr>
            </w:pPr>
            <w:r>
              <w:rPr>
                <w:rFonts w:hint="eastAsia" w:ascii="仿宋" w:hAnsi="仿宋" w:eastAsia="仿宋" w:cs="仿宋"/>
                <w:sz w:val="21"/>
                <w:szCs w:val="21"/>
                <w:lang w:val="en-US" w:eastAsia="zh-CN"/>
              </w:rPr>
              <w:t>系统模式</w:t>
            </w:r>
          </w:p>
        </w:tc>
        <w:tc>
          <w:tcPr>
            <w:tcW w:w="5764" w:type="dxa"/>
            <w:vAlign w:val="center"/>
          </w:tcPr>
          <w:p w14:paraId="643198CE">
            <w:pPr>
              <w:widowControl w:val="0"/>
              <w:numPr>
                <w:ilvl w:val="0"/>
                <w:numId w:val="0"/>
              </w:numPr>
              <w:jc w:val="left"/>
              <w:rPr>
                <w:rFonts w:hint="eastAsia" w:ascii="仿宋" w:hAnsi="仿宋" w:eastAsia="仿宋" w:cs="仿宋"/>
                <w:sz w:val="21"/>
                <w:szCs w:val="21"/>
                <w:lang w:eastAsia="zh-CN"/>
              </w:rPr>
            </w:pPr>
            <w:r>
              <w:rPr>
                <w:rFonts w:hint="eastAsia" w:ascii="仿宋" w:hAnsi="仿宋" w:eastAsia="仿宋" w:cs="仿宋"/>
                <w:sz w:val="21"/>
                <w:szCs w:val="21"/>
                <w:lang w:val="en-US" w:eastAsia="zh-CN"/>
              </w:rPr>
              <w:t>系统集成儿童注意力测评康复训练 + 大数据管理，采用线上游戏训练形式；支持 AI 自动生成训练场景；为注意力缺失儿童提供一体化解决方案，可实时输出每个儿童训练报告</w:t>
            </w:r>
          </w:p>
        </w:tc>
      </w:tr>
      <w:tr w14:paraId="55AD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3F2137E">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二</w:t>
            </w:r>
          </w:p>
        </w:tc>
        <w:tc>
          <w:tcPr>
            <w:tcW w:w="2076" w:type="dxa"/>
            <w:vAlign w:val="center"/>
          </w:tcPr>
          <w:p w14:paraId="51467143">
            <w:pPr>
              <w:widowControl w:val="0"/>
              <w:numPr>
                <w:ilvl w:val="0"/>
                <w:numId w:val="0"/>
              </w:numPr>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硬件参数</w:t>
            </w:r>
          </w:p>
        </w:tc>
        <w:tc>
          <w:tcPr>
            <w:tcW w:w="5764" w:type="dxa"/>
            <w:vAlign w:val="center"/>
          </w:tcPr>
          <w:p w14:paraId="57CB4998">
            <w:pPr>
              <w:widowControl w:val="0"/>
              <w:numPr>
                <w:ilvl w:val="0"/>
                <w:numId w:val="0"/>
              </w:numPr>
              <w:jc w:val="left"/>
              <w:rPr>
                <w:rFonts w:hint="eastAsia" w:ascii="仿宋" w:hAnsi="仿宋" w:eastAsia="仿宋" w:cs="仿宋"/>
                <w:sz w:val="21"/>
                <w:szCs w:val="21"/>
                <w:lang w:val="en-US" w:eastAsia="zh-CN"/>
              </w:rPr>
            </w:pPr>
          </w:p>
        </w:tc>
      </w:tr>
      <w:tr w14:paraId="7768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C17A324">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p>
        </w:tc>
        <w:tc>
          <w:tcPr>
            <w:tcW w:w="2076" w:type="dxa"/>
            <w:vAlign w:val="center"/>
          </w:tcPr>
          <w:p w14:paraId="4F06583D">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产品外形尺寸</w:t>
            </w:r>
          </w:p>
        </w:tc>
        <w:tc>
          <w:tcPr>
            <w:tcW w:w="5764" w:type="dxa"/>
            <w:vAlign w:val="center"/>
          </w:tcPr>
          <w:p w14:paraId="24E98309">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≥1300mm×500mm×1350mm（含滑轮），允差 ±2%</w:t>
            </w:r>
          </w:p>
        </w:tc>
      </w:tr>
      <w:tr w14:paraId="606B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E4073E2">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2076" w:type="dxa"/>
            <w:vAlign w:val="center"/>
          </w:tcPr>
          <w:p w14:paraId="27E59225">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整机重量</w:t>
            </w:r>
          </w:p>
        </w:tc>
        <w:tc>
          <w:tcPr>
            <w:tcW w:w="5764" w:type="dxa"/>
            <w:vAlign w:val="center"/>
          </w:tcPr>
          <w:p w14:paraId="2183BCA3">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≤40kg</w:t>
            </w:r>
          </w:p>
        </w:tc>
      </w:tr>
      <w:tr w14:paraId="0554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F34AACD">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2076" w:type="dxa"/>
            <w:vAlign w:val="center"/>
          </w:tcPr>
          <w:p w14:paraId="5E73E16D">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有线网络</w:t>
            </w:r>
          </w:p>
        </w:tc>
        <w:tc>
          <w:tcPr>
            <w:tcW w:w="5764" w:type="dxa"/>
            <w:vAlign w:val="center"/>
          </w:tcPr>
          <w:p w14:paraId="5073E0C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100M/1000Mbps 自适应网口</w:t>
            </w:r>
          </w:p>
        </w:tc>
      </w:tr>
      <w:tr w14:paraId="6688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687DD49">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2076" w:type="dxa"/>
            <w:vAlign w:val="center"/>
          </w:tcPr>
          <w:p w14:paraId="23FE551D">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无线网络</w:t>
            </w:r>
          </w:p>
        </w:tc>
        <w:tc>
          <w:tcPr>
            <w:tcW w:w="5764" w:type="dxa"/>
            <w:vAlign w:val="center"/>
          </w:tcPr>
          <w:p w14:paraId="2454551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 WiFi 连接</w:t>
            </w:r>
          </w:p>
        </w:tc>
      </w:tr>
      <w:tr w14:paraId="0F5F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48F182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w:t>
            </w:r>
          </w:p>
        </w:tc>
        <w:tc>
          <w:tcPr>
            <w:tcW w:w="2076" w:type="dxa"/>
            <w:vAlign w:val="center"/>
          </w:tcPr>
          <w:p w14:paraId="533013F2">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输入接口</w:t>
            </w:r>
          </w:p>
        </w:tc>
        <w:tc>
          <w:tcPr>
            <w:tcW w:w="5764" w:type="dxa"/>
            <w:vAlign w:val="center"/>
          </w:tcPr>
          <w:p w14:paraId="230649F9">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VGA、LVES</w:t>
            </w:r>
          </w:p>
        </w:tc>
      </w:tr>
      <w:tr w14:paraId="6134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16E2161">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p>
        </w:tc>
        <w:tc>
          <w:tcPr>
            <w:tcW w:w="2076" w:type="dxa"/>
            <w:vAlign w:val="center"/>
          </w:tcPr>
          <w:p w14:paraId="5C7F960F">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工作温度</w:t>
            </w:r>
          </w:p>
        </w:tc>
        <w:tc>
          <w:tcPr>
            <w:tcW w:w="5764" w:type="dxa"/>
            <w:vAlign w:val="center"/>
          </w:tcPr>
          <w:p w14:paraId="4F8DFF37">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0</w:t>
            </w:r>
            <w:r>
              <w:rPr>
                <w:rFonts w:hint="eastAsia" w:ascii="仿宋" w:hAnsi="仿宋" w:eastAsia="仿宋" w:cs="仿宋"/>
                <w:sz w:val="21"/>
                <w:szCs w:val="21"/>
                <w:lang w:val="en-US" w:eastAsia="zh-CN"/>
              </w:rPr>
              <w:noBreakHyphen/>
            </w:r>
            <w:r>
              <w:rPr>
                <w:rFonts w:hint="eastAsia" w:ascii="仿宋" w:hAnsi="仿宋" w:eastAsia="仿宋" w:cs="仿宋"/>
                <w:sz w:val="21"/>
                <w:szCs w:val="21"/>
                <w:lang w:val="en-US" w:eastAsia="zh-CN"/>
              </w:rPr>
              <w:t>50℃</w:t>
            </w:r>
          </w:p>
        </w:tc>
      </w:tr>
      <w:tr w14:paraId="0680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F3DDA7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w:t>
            </w:r>
          </w:p>
        </w:tc>
        <w:tc>
          <w:tcPr>
            <w:tcW w:w="2076" w:type="dxa"/>
            <w:vAlign w:val="center"/>
          </w:tcPr>
          <w:p w14:paraId="3F39EC74">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最大工作湿度</w:t>
            </w:r>
          </w:p>
        </w:tc>
        <w:tc>
          <w:tcPr>
            <w:tcW w:w="5764" w:type="dxa"/>
            <w:vAlign w:val="center"/>
          </w:tcPr>
          <w:p w14:paraId="78115496">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≥80%</w:t>
            </w:r>
          </w:p>
        </w:tc>
      </w:tr>
      <w:tr w14:paraId="756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69405BB">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11</w:t>
            </w:r>
          </w:p>
        </w:tc>
        <w:tc>
          <w:tcPr>
            <w:tcW w:w="2076" w:type="dxa"/>
            <w:vAlign w:val="center"/>
          </w:tcPr>
          <w:p w14:paraId="0CCB97D6">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供电输入</w:t>
            </w:r>
          </w:p>
        </w:tc>
        <w:tc>
          <w:tcPr>
            <w:tcW w:w="5764" w:type="dxa"/>
            <w:vAlign w:val="center"/>
          </w:tcPr>
          <w:p w14:paraId="6F60C380">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220V</w:t>
            </w:r>
          </w:p>
        </w:tc>
      </w:tr>
      <w:tr w14:paraId="2C0D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94987AD">
            <w:pPr>
              <w:widowControl w:val="0"/>
              <w:numPr>
                <w:ilvl w:val="0"/>
                <w:numId w:val="0"/>
              </w:num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三</w:t>
            </w:r>
          </w:p>
        </w:tc>
        <w:tc>
          <w:tcPr>
            <w:tcW w:w="2076" w:type="dxa"/>
            <w:vAlign w:val="center"/>
          </w:tcPr>
          <w:p w14:paraId="5F24947C">
            <w:pPr>
              <w:widowControl w:val="0"/>
              <w:numPr>
                <w:ilvl w:val="0"/>
                <w:numId w:val="0"/>
              </w:numPr>
              <w:jc w:val="left"/>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软件参数</w:t>
            </w:r>
          </w:p>
        </w:tc>
        <w:tc>
          <w:tcPr>
            <w:tcW w:w="5764" w:type="dxa"/>
            <w:vAlign w:val="center"/>
          </w:tcPr>
          <w:p w14:paraId="2A3E1A14">
            <w:pPr>
              <w:widowControl w:val="0"/>
              <w:numPr>
                <w:ilvl w:val="0"/>
                <w:numId w:val="0"/>
              </w:numPr>
              <w:jc w:val="left"/>
              <w:rPr>
                <w:rFonts w:hint="eastAsia" w:ascii="仿宋" w:hAnsi="仿宋" w:eastAsia="仿宋" w:cs="仿宋"/>
                <w:sz w:val="21"/>
                <w:szCs w:val="21"/>
                <w:lang w:val="en-US" w:eastAsia="zh-CN"/>
              </w:rPr>
            </w:pPr>
          </w:p>
        </w:tc>
      </w:tr>
      <w:tr w14:paraId="2F14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584BE20">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w:t>
            </w:r>
          </w:p>
        </w:tc>
        <w:tc>
          <w:tcPr>
            <w:tcW w:w="2076" w:type="dxa"/>
            <w:vAlign w:val="center"/>
          </w:tcPr>
          <w:p w14:paraId="357846AB">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医生工作台功能</w:t>
            </w:r>
          </w:p>
        </w:tc>
        <w:tc>
          <w:tcPr>
            <w:tcW w:w="5764" w:type="dxa"/>
            <w:vAlign w:val="center"/>
          </w:tcPr>
          <w:p w14:paraId="100259E4">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具备注意力用户行为报告、注意力训练汇总、数据统计、用户管理模块</w:t>
            </w:r>
          </w:p>
        </w:tc>
      </w:tr>
      <w:tr w14:paraId="05D0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7A86FB5">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13</w:t>
            </w:r>
          </w:p>
        </w:tc>
        <w:tc>
          <w:tcPr>
            <w:tcW w:w="2076" w:type="dxa"/>
            <w:vAlign w:val="center"/>
          </w:tcPr>
          <w:p w14:paraId="1DC0C1E8">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评训终端机功能</w:t>
            </w:r>
          </w:p>
        </w:tc>
        <w:tc>
          <w:tcPr>
            <w:tcW w:w="5764" w:type="dxa"/>
            <w:vAlign w:val="center"/>
          </w:tcPr>
          <w:p w14:paraId="6DD86CD0">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支持用户查询、课程添加、患者添加、测评报告、训练添加、测评添加、综合训练测评、记忆力评训、反应执行能力、视听觉理解能力、逻辑思维、观察认知、交互评训功能</w:t>
            </w:r>
          </w:p>
        </w:tc>
      </w:tr>
      <w:tr w14:paraId="69D1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D18BCDD">
            <w:pPr>
              <w:widowControl w:val="0"/>
              <w:numPr>
                <w:ilvl w:val="0"/>
                <w:numId w:val="0"/>
              </w:num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14</w:t>
            </w:r>
          </w:p>
        </w:tc>
        <w:tc>
          <w:tcPr>
            <w:tcW w:w="2076" w:type="dxa"/>
            <w:vAlign w:val="center"/>
          </w:tcPr>
          <w:p w14:paraId="674CA11E">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配置清单</w:t>
            </w:r>
          </w:p>
        </w:tc>
        <w:tc>
          <w:tcPr>
            <w:tcW w:w="5764" w:type="dxa"/>
            <w:vAlign w:val="center"/>
          </w:tcPr>
          <w:p w14:paraId="67E32C6D">
            <w:pPr>
              <w:widowControl w:val="0"/>
              <w:numPr>
                <w:ilvl w:val="0"/>
                <w:numId w:val="0"/>
              </w:numPr>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 一体化专用工作站；2. 滑轮；3. 台车</w:t>
            </w:r>
          </w:p>
        </w:tc>
      </w:tr>
    </w:tbl>
    <w:p w14:paraId="7A3F0FBC">
      <w:pPr>
        <w:numPr>
          <w:ilvl w:val="0"/>
          <w:numId w:val="0"/>
        </w:numPr>
        <w:rPr>
          <w:rFonts w:hint="eastAsia" w:ascii="微软雅黑" w:hAnsi="微软雅黑" w:eastAsia="微软雅黑" w:cs="微软雅黑"/>
          <w:b w:val="0"/>
          <w:bCs w:val="0"/>
          <w:sz w:val="21"/>
          <w:szCs w:val="21"/>
        </w:rPr>
      </w:pPr>
      <w:bookmarkStart w:id="0" w:name="_GoBack"/>
      <w:bookmarkEnd w:id="0"/>
    </w:p>
    <w:p w14:paraId="597CC191">
      <w:pPr>
        <w:numPr>
          <w:ilvl w:val="0"/>
          <w:numId w:val="0"/>
        </w:numPr>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lang w:val="en-US" w:eastAsia="zh-CN"/>
        </w:rPr>
        <w:t>四、</w:t>
      </w:r>
      <w:r>
        <w:rPr>
          <w:rFonts w:hint="eastAsia" w:ascii="微软雅黑" w:hAnsi="微软雅黑" w:eastAsia="微软雅黑" w:cs="微软雅黑"/>
          <w:b w:val="0"/>
          <w:bCs w:val="0"/>
          <w:sz w:val="21"/>
          <w:szCs w:val="21"/>
        </w:rPr>
        <w:t>商务要求</w:t>
      </w:r>
    </w:p>
    <w:p w14:paraId="49172584">
      <w:pPr>
        <w:numPr>
          <w:ilvl w:val="0"/>
          <w:numId w:val="0"/>
        </w:numPr>
        <w:ind w:firstLine="420" w:firstLineChars="200"/>
        <w:rPr>
          <w:rFonts w:hint="eastAsia" w:ascii="仿宋" w:hAnsi="仿宋" w:eastAsia="仿宋" w:cs="仿宋"/>
          <w:sz w:val="21"/>
          <w:szCs w:val="21"/>
        </w:rPr>
      </w:pPr>
      <w:r>
        <w:rPr>
          <w:rFonts w:hint="eastAsia" w:ascii="仿宋" w:hAnsi="仿宋" w:eastAsia="仿宋" w:cs="仿宋"/>
          <w:sz w:val="21"/>
          <w:szCs w:val="21"/>
        </w:rPr>
        <w:t>（一）供应商资质要求</w:t>
      </w:r>
    </w:p>
    <w:p w14:paraId="6B7CDC93">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具有独立法人资格，提供有效营业执照；</w:t>
      </w:r>
    </w:p>
    <w:p w14:paraId="044747A6">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具备第二类医疗器械经营备案凭证或医疗器械经营许可证；</w:t>
      </w:r>
    </w:p>
    <w:p w14:paraId="2A54F3FD">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产品具有国家药品监督管理局颁发的医疗器械注册证及附件；</w:t>
      </w:r>
    </w:p>
    <w:p w14:paraId="287A0032">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提供制造商针对本项目的唯一授权书及原厂售后服务承诺。</w:t>
      </w:r>
    </w:p>
    <w:p w14:paraId="44139E76">
      <w:pPr>
        <w:ind w:firstLine="420" w:firstLineChars="200"/>
        <w:rPr>
          <w:rFonts w:hint="eastAsia" w:ascii="仿宋" w:hAnsi="仿宋" w:eastAsia="仿宋" w:cs="仿宋"/>
          <w:sz w:val="21"/>
          <w:szCs w:val="21"/>
        </w:rPr>
      </w:pPr>
      <w:r>
        <w:rPr>
          <w:rFonts w:hint="eastAsia" w:ascii="仿宋" w:hAnsi="仿宋" w:eastAsia="仿宋" w:cs="仿宋"/>
          <w:sz w:val="21"/>
          <w:szCs w:val="21"/>
        </w:rPr>
        <w:t>（二）交货与安装</w:t>
      </w:r>
    </w:p>
    <w:p w14:paraId="28C73384">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交货期：合同</w:t>
      </w:r>
      <w:r>
        <w:rPr>
          <w:rFonts w:hint="eastAsia" w:ascii="仿宋" w:hAnsi="仿宋" w:eastAsia="仿宋" w:cs="仿宋"/>
          <w:sz w:val="21"/>
          <w:szCs w:val="21"/>
          <w:lang w:val="en-US" w:eastAsia="zh-CN"/>
        </w:rPr>
        <w:t>生效</w:t>
      </w:r>
      <w:r>
        <w:rPr>
          <w:rFonts w:hint="eastAsia" w:ascii="仿宋" w:hAnsi="仿宋" w:eastAsia="仿宋" w:cs="仿宋"/>
          <w:sz w:val="21"/>
          <w:szCs w:val="21"/>
        </w:rPr>
        <w:t>后 15日历天内完成到货、安装、调试、培训及验收；</w:t>
      </w:r>
    </w:p>
    <w:p w14:paraId="12199C4B">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交货地点：</w:t>
      </w:r>
      <w:r>
        <w:rPr>
          <w:rFonts w:hint="eastAsia" w:ascii="仿宋" w:hAnsi="仿宋" w:eastAsia="仿宋" w:cs="仿宋"/>
          <w:sz w:val="21"/>
          <w:szCs w:val="21"/>
          <w:lang w:val="en-US" w:eastAsia="zh-CN"/>
        </w:rPr>
        <w:t>成都市新津区西创大道1387号</w:t>
      </w:r>
      <w:r>
        <w:rPr>
          <w:rFonts w:hint="eastAsia" w:ascii="仿宋" w:hAnsi="仿宋" w:eastAsia="仿宋" w:cs="仿宋"/>
          <w:sz w:val="21"/>
          <w:szCs w:val="21"/>
        </w:rPr>
        <w:t>；</w:t>
      </w:r>
    </w:p>
    <w:p w14:paraId="078A398D">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安装调试：供应商免费上门安装、调试、校准。</w:t>
      </w:r>
    </w:p>
    <w:p w14:paraId="02DB1636">
      <w:pPr>
        <w:ind w:firstLine="420" w:firstLineChars="200"/>
        <w:rPr>
          <w:rFonts w:hint="eastAsia" w:ascii="仿宋" w:hAnsi="仿宋" w:eastAsia="仿宋" w:cs="仿宋"/>
          <w:sz w:val="21"/>
          <w:szCs w:val="21"/>
        </w:rPr>
      </w:pPr>
      <w:r>
        <w:rPr>
          <w:rFonts w:hint="eastAsia" w:ascii="仿宋" w:hAnsi="仿宋" w:eastAsia="仿宋" w:cs="仿宋"/>
          <w:sz w:val="21"/>
          <w:szCs w:val="21"/>
        </w:rPr>
        <w:t>（三）验收要求</w:t>
      </w:r>
    </w:p>
    <w:p w14:paraId="0C4CC6BD">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设备为全新原厂正品，无翻新、无改装；</w:t>
      </w:r>
    </w:p>
    <w:p w14:paraId="017DFC1D">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技术参数逐项核对，须全部满足；</w:t>
      </w:r>
    </w:p>
    <w:p w14:paraId="1065D360">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随货提供全套资料（注册证、合格证、说明书、保修卡、培训记录、验收报告等）。</w:t>
      </w:r>
    </w:p>
    <w:p w14:paraId="4812AE6B">
      <w:pPr>
        <w:ind w:firstLine="420" w:firstLineChars="200"/>
        <w:rPr>
          <w:rFonts w:hint="eastAsia" w:ascii="仿宋" w:hAnsi="仿宋" w:eastAsia="仿宋" w:cs="仿宋"/>
          <w:sz w:val="21"/>
          <w:szCs w:val="21"/>
        </w:rPr>
      </w:pPr>
      <w:r>
        <w:rPr>
          <w:rFonts w:hint="eastAsia" w:ascii="仿宋" w:hAnsi="仿宋" w:eastAsia="仿宋" w:cs="仿宋"/>
          <w:sz w:val="21"/>
          <w:szCs w:val="21"/>
        </w:rPr>
        <w:t>（四）质量保证及售后服务</w:t>
      </w:r>
    </w:p>
    <w:p w14:paraId="5807BBBB">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整机质保期：≥</w:t>
      </w:r>
      <w:r>
        <w:rPr>
          <w:rFonts w:hint="eastAsia" w:ascii="仿宋" w:hAnsi="仿宋" w:eastAsia="仿宋" w:cs="仿宋"/>
          <w:sz w:val="21"/>
          <w:szCs w:val="21"/>
          <w:lang w:val="en-US" w:eastAsia="zh-CN"/>
        </w:rPr>
        <w:t>1</w:t>
      </w:r>
      <w:r>
        <w:rPr>
          <w:rFonts w:hint="eastAsia" w:ascii="仿宋" w:hAnsi="仿宋" w:eastAsia="仿宋" w:cs="仿宋"/>
          <w:sz w:val="21"/>
          <w:szCs w:val="21"/>
        </w:rPr>
        <w:t>年（自验收合格之日起）；</w:t>
      </w:r>
    </w:p>
    <w:p w14:paraId="3B029150">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故障响应：2小时内响应，24小时内上门维修</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技术人员联系方式：</w:t>
      </w:r>
      <w:r>
        <w:rPr>
          <w:rFonts w:hint="eastAsia" w:ascii="仿宋" w:hAnsi="仿宋" w:eastAsia="仿宋" w:cs="仿宋"/>
          <w:sz w:val="21"/>
          <w:szCs w:val="21"/>
          <w:u w:val="single"/>
          <w:lang w:val="en-US" w:eastAsia="zh-CN"/>
        </w:rPr>
        <w:t xml:space="preserve">            </w:t>
      </w:r>
      <w:r>
        <w:rPr>
          <w:rFonts w:hint="eastAsia" w:ascii="仿宋" w:hAnsi="仿宋" w:eastAsia="仿宋" w:cs="仿宋"/>
          <w:sz w:val="21"/>
          <w:szCs w:val="21"/>
        </w:rPr>
        <w:t>；</w:t>
      </w:r>
    </w:p>
    <w:p w14:paraId="1AC12280">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质保期内：免费更换原厂配件、免人工费、免差旅费；</w:t>
      </w:r>
    </w:p>
    <w:p w14:paraId="1F0953B8">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备用设备：无法及时修复时</w:t>
      </w:r>
      <w:r>
        <w:rPr>
          <w:rFonts w:hint="eastAsia" w:ascii="仿宋" w:hAnsi="仿宋" w:eastAsia="仿宋" w:cs="仿宋"/>
          <w:sz w:val="21"/>
          <w:szCs w:val="21"/>
          <w:lang w:val="en-US" w:eastAsia="zh-CN"/>
        </w:rPr>
        <w:t>需</w:t>
      </w:r>
      <w:r>
        <w:rPr>
          <w:rFonts w:hint="eastAsia" w:ascii="仿宋" w:hAnsi="仿宋" w:eastAsia="仿宋" w:cs="仿宋"/>
          <w:sz w:val="21"/>
          <w:szCs w:val="21"/>
        </w:rPr>
        <w:t>提供备用设备；</w:t>
      </w:r>
    </w:p>
    <w:p w14:paraId="1DB73D80">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终身维护：质保期满后提供终身维护，配件价格不高于市场同期价格；</w:t>
      </w:r>
    </w:p>
    <w:p w14:paraId="0E0C46A8">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6.</w:t>
      </w:r>
      <w:r>
        <w:rPr>
          <w:rFonts w:hint="eastAsia" w:ascii="仿宋" w:hAnsi="仿宋" w:eastAsia="仿宋" w:cs="仿宋"/>
          <w:sz w:val="21"/>
          <w:szCs w:val="21"/>
        </w:rPr>
        <w:t>定期巡检：每</w:t>
      </w:r>
      <w:r>
        <w:rPr>
          <w:rFonts w:hint="eastAsia" w:ascii="仿宋" w:hAnsi="仿宋" w:eastAsia="仿宋" w:cs="仿宋"/>
          <w:sz w:val="21"/>
          <w:szCs w:val="21"/>
          <w:lang w:val="en-US" w:eastAsia="zh-CN"/>
        </w:rPr>
        <w:t>半</w:t>
      </w:r>
      <w:r>
        <w:rPr>
          <w:rFonts w:hint="eastAsia" w:ascii="仿宋" w:hAnsi="仿宋" w:eastAsia="仿宋" w:cs="仿宋"/>
          <w:sz w:val="21"/>
          <w:szCs w:val="21"/>
        </w:rPr>
        <w:t>年</w:t>
      </w:r>
      <w:r>
        <w:rPr>
          <w:rFonts w:hint="eastAsia" w:ascii="仿宋" w:hAnsi="仿宋" w:eastAsia="仿宋" w:cs="仿宋"/>
          <w:sz w:val="21"/>
          <w:szCs w:val="21"/>
          <w:lang w:val="en-US" w:eastAsia="zh-CN"/>
        </w:rPr>
        <w:t>至少</w:t>
      </w:r>
      <w:r>
        <w:rPr>
          <w:rFonts w:hint="eastAsia" w:ascii="仿宋" w:hAnsi="仿宋" w:eastAsia="仿宋" w:cs="仿宋"/>
          <w:sz w:val="21"/>
          <w:szCs w:val="21"/>
        </w:rPr>
        <w:t>1次免费上门巡检、校准服务。</w:t>
      </w:r>
    </w:p>
    <w:p w14:paraId="6E5CA4E3">
      <w:pPr>
        <w:ind w:firstLine="420" w:firstLineChars="200"/>
        <w:rPr>
          <w:rFonts w:hint="eastAsia" w:ascii="仿宋" w:hAnsi="仿宋" w:eastAsia="仿宋" w:cs="仿宋"/>
          <w:sz w:val="21"/>
          <w:szCs w:val="21"/>
        </w:rPr>
      </w:pPr>
      <w:r>
        <w:rPr>
          <w:rFonts w:hint="eastAsia" w:ascii="仿宋" w:hAnsi="仿宋" w:eastAsia="仿宋" w:cs="仿宋"/>
          <w:sz w:val="21"/>
          <w:szCs w:val="21"/>
        </w:rPr>
        <w:t>（五）培训要求</w:t>
      </w:r>
    </w:p>
    <w:p w14:paraId="3ABA0A4C">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1.安装验收后</w:t>
      </w:r>
      <w:r>
        <w:rPr>
          <w:rFonts w:hint="eastAsia" w:ascii="仿宋" w:hAnsi="仿宋" w:eastAsia="仿宋" w:cs="仿宋"/>
          <w:sz w:val="21"/>
          <w:szCs w:val="21"/>
        </w:rPr>
        <w:t>现场操作培训不少于2次</w:t>
      </w:r>
      <w:r>
        <w:rPr>
          <w:rFonts w:hint="eastAsia" w:ascii="仿宋" w:hAnsi="仿宋" w:eastAsia="仿宋" w:cs="仿宋"/>
          <w:sz w:val="21"/>
          <w:szCs w:val="21"/>
          <w:lang w:eastAsia="zh-CN"/>
        </w:rPr>
        <w:t>，</w:t>
      </w:r>
      <w:r>
        <w:rPr>
          <w:rFonts w:hint="eastAsia" w:ascii="仿宋" w:hAnsi="仿宋" w:eastAsia="仿宋" w:cs="仿宋"/>
          <w:sz w:val="21"/>
          <w:szCs w:val="21"/>
        </w:rPr>
        <w:t>确保科室人员能独立、熟练、规范操作；</w:t>
      </w:r>
    </w:p>
    <w:p w14:paraId="3C1C59D8">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培训内容：操作使用、日常维护、简单故障排查、报告解读；</w:t>
      </w:r>
    </w:p>
    <w:p w14:paraId="19B494A0">
      <w:pPr>
        <w:ind w:firstLine="420" w:firstLineChars="200"/>
        <w:rPr>
          <w:rFonts w:hint="eastAsia" w:ascii="仿宋" w:hAnsi="仿宋" w:eastAsia="仿宋" w:cs="仿宋"/>
          <w:sz w:val="21"/>
          <w:szCs w:val="21"/>
        </w:rPr>
      </w:pPr>
      <w:r>
        <w:rPr>
          <w:rFonts w:hint="eastAsia" w:ascii="仿宋" w:hAnsi="仿宋" w:eastAsia="仿宋" w:cs="仿宋"/>
          <w:sz w:val="21"/>
          <w:szCs w:val="21"/>
        </w:rPr>
        <w:t>（六）资料交付</w:t>
      </w:r>
    </w:p>
    <w:p w14:paraId="04754390">
      <w:pPr>
        <w:ind w:firstLine="420" w:firstLineChars="200"/>
        <w:rPr>
          <w:rFonts w:hint="eastAsia" w:ascii="仿宋" w:hAnsi="仿宋" w:eastAsia="仿宋" w:cs="仿宋"/>
          <w:sz w:val="21"/>
          <w:szCs w:val="21"/>
        </w:rPr>
      </w:pPr>
      <w:r>
        <w:rPr>
          <w:rFonts w:hint="eastAsia" w:ascii="仿宋" w:hAnsi="仿宋" w:eastAsia="仿宋" w:cs="仿宋"/>
          <w:sz w:val="21"/>
          <w:szCs w:val="21"/>
        </w:rPr>
        <w:t>供应商须提供营业执照、经营/生产资质、注册证、授权书、售后服务</w:t>
      </w:r>
      <w:r>
        <w:rPr>
          <w:rFonts w:hint="eastAsia" w:ascii="仿宋" w:hAnsi="仿宋" w:eastAsia="仿宋" w:cs="仿宋"/>
          <w:sz w:val="21"/>
          <w:szCs w:val="21"/>
          <w:lang w:val="en-US" w:eastAsia="zh-CN"/>
        </w:rPr>
        <w:t>承诺</w:t>
      </w:r>
      <w:r>
        <w:rPr>
          <w:rFonts w:hint="eastAsia" w:ascii="仿宋" w:hAnsi="仿宋" w:eastAsia="仿宋" w:cs="仿宋"/>
          <w:sz w:val="21"/>
          <w:szCs w:val="21"/>
        </w:rPr>
        <w:t>、合格证、检测报告、操作手册、维修手册、报告模板等。</w:t>
      </w:r>
    </w:p>
    <w:p w14:paraId="4A261540">
      <w:pPr>
        <w:numPr>
          <w:ilvl w:val="0"/>
          <w:numId w:val="0"/>
        </w:numPr>
        <w:ind w:firstLine="420" w:firstLineChars="200"/>
        <w:rPr>
          <w:rFonts w:hint="eastAsia" w:ascii="仿宋" w:hAnsi="仿宋" w:eastAsia="仿宋" w:cs="仿宋"/>
          <w:color w:val="auto"/>
          <w:sz w:val="21"/>
          <w:szCs w:val="21"/>
        </w:rPr>
      </w:pPr>
    </w:p>
    <w:p w14:paraId="0181C689">
      <w:pPr>
        <w:numPr>
          <w:ilvl w:val="0"/>
          <w:numId w:val="0"/>
        </w:numPr>
        <w:ind w:firstLine="420" w:firstLineChars="200"/>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五、其他要求</w:t>
      </w:r>
    </w:p>
    <w:p w14:paraId="433A49BF">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设备须符合医院院感、安全、环保、用电规范；</w:t>
      </w:r>
    </w:p>
    <w:p w14:paraId="66DF1001">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报告格式符合</w:t>
      </w:r>
      <w:r>
        <w:rPr>
          <w:rFonts w:hint="eastAsia" w:ascii="仿宋" w:hAnsi="仿宋" w:eastAsia="仿宋" w:cs="仿宋"/>
          <w:sz w:val="21"/>
          <w:szCs w:val="21"/>
          <w:lang w:val="en-US" w:eastAsia="zh-CN"/>
        </w:rPr>
        <w:t>医院</w:t>
      </w:r>
      <w:r>
        <w:rPr>
          <w:rFonts w:hint="eastAsia" w:ascii="仿宋" w:hAnsi="仿宋" w:eastAsia="仿宋" w:cs="仿宋"/>
          <w:sz w:val="21"/>
          <w:szCs w:val="21"/>
        </w:rPr>
        <w:t>要求；</w:t>
      </w:r>
    </w:p>
    <w:p w14:paraId="0DE7C733">
      <w:pPr>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3.采购</w:t>
      </w:r>
      <w:r>
        <w:rPr>
          <w:rFonts w:hint="eastAsia" w:ascii="仿宋" w:hAnsi="仿宋" w:eastAsia="仿宋" w:cs="仿宋"/>
          <w:sz w:val="21"/>
          <w:szCs w:val="21"/>
        </w:rPr>
        <w:t>需求为</w:t>
      </w:r>
      <w:r>
        <w:rPr>
          <w:rFonts w:hint="eastAsia" w:ascii="仿宋" w:hAnsi="仿宋" w:eastAsia="仿宋" w:cs="仿宋"/>
          <w:sz w:val="21"/>
          <w:szCs w:val="21"/>
          <w:lang w:val="en-US" w:eastAsia="zh-CN"/>
        </w:rPr>
        <w:t>招标</w:t>
      </w:r>
      <w:r>
        <w:rPr>
          <w:rFonts w:hint="eastAsia" w:ascii="仿宋" w:hAnsi="仿宋" w:eastAsia="仿宋" w:cs="仿宋"/>
          <w:sz w:val="21"/>
          <w:szCs w:val="21"/>
        </w:rPr>
        <w:t>文件</w:t>
      </w:r>
      <w:r>
        <w:rPr>
          <w:rFonts w:hint="eastAsia" w:ascii="仿宋" w:hAnsi="仿宋" w:eastAsia="仿宋" w:cs="仿宋"/>
          <w:sz w:val="21"/>
          <w:szCs w:val="21"/>
          <w:lang w:val="en-US" w:eastAsia="zh-CN"/>
        </w:rPr>
        <w:t>主要</w:t>
      </w:r>
      <w:r>
        <w:rPr>
          <w:rFonts w:hint="eastAsia" w:ascii="仿宋" w:hAnsi="仿宋" w:eastAsia="仿宋" w:cs="仿宋"/>
          <w:sz w:val="21"/>
          <w:szCs w:val="21"/>
        </w:rPr>
        <w:t>组成部分，具有同等法律效力。</w:t>
      </w:r>
    </w:p>
    <w:p w14:paraId="322B8BE1">
      <w:pPr>
        <w:rPr>
          <w:sz w:val="21"/>
          <w:szCs w:val="21"/>
        </w:rPr>
      </w:pPr>
    </w:p>
    <w:p w14:paraId="15448B63">
      <w:pPr>
        <w:rPr>
          <w:sz w:val="21"/>
          <w:szCs w:val="21"/>
        </w:rPr>
      </w:pPr>
    </w:p>
    <w:p w14:paraId="17A83378">
      <w:pPr>
        <w:spacing w:line="360" w:lineRule="auto"/>
        <w:outlineLvl w:val="0"/>
        <w:rPr>
          <w:rFonts w:hint="eastAsia" w:ascii="Calibri" w:hAnsi="Calibri"/>
          <w:b/>
          <w:bCs/>
          <w:color w:val="auto"/>
          <w:sz w:val="21"/>
          <w:szCs w:val="21"/>
          <w:highlight w:val="none"/>
        </w:rPr>
      </w:pPr>
    </w:p>
    <w:p w14:paraId="2DEE312E">
      <w:pPr>
        <w:spacing w:line="360" w:lineRule="auto"/>
        <w:outlineLvl w:val="0"/>
        <w:rPr>
          <w:rFonts w:hint="eastAsia" w:ascii="Calibri" w:hAnsi="Calibri"/>
          <w:b/>
          <w:bCs/>
          <w:color w:val="auto"/>
          <w:sz w:val="21"/>
          <w:szCs w:val="21"/>
          <w:highlight w:val="none"/>
        </w:rPr>
      </w:pPr>
    </w:p>
    <w:p w14:paraId="3F6DCDBA">
      <w:pPr>
        <w:spacing w:line="360" w:lineRule="auto"/>
        <w:outlineLvl w:val="0"/>
        <w:rPr>
          <w:rFonts w:hint="eastAsia" w:ascii="Calibri" w:hAnsi="Calibri"/>
          <w:b/>
          <w:bCs/>
          <w:color w:val="auto"/>
          <w:sz w:val="21"/>
          <w:szCs w:val="21"/>
          <w:highlight w:val="none"/>
        </w:rPr>
      </w:pPr>
    </w:p>
    <w:p w14:paraId="2D3CDA3D">
      <w:pPr>
        <w:spacing w:line="360" w:lineRule="auto"/>
        <w:outlineLvl w:val="0"/>
        <w:rPr>
          <w:rFonts w:hint="eastAsia" w:ascii="Calibri" w:hAnsi="Calibri"/>
          <w:b/>
          <w:bCs/>
          <w:color w:val="auto"/>
          <w:sz w:val="21"/>
          <w:szCs w:val="21"/>
          <w:highlight w:val="none"/>
          <w:lang w:val="en-US" w:eastAsia="zh-CN"/>
        </w:rPr>
      </w:pPr>
      <w:r>
        <w:rPr>
          <w:rFonts w:hint="eastAsia" w:ascii="Calibri" w:hAnsi="Calibri"/>
          <w:b/>
          <w:bCs/>
          <w:color w:val="auto"/>
          <w:sz w:val="21"/>
          <w:szCs w:val="21"/>
          <w:highlight w:val="none"/>
        </w:rPr>
        <w:t>附件2：报价</w:t>
      </w:r>
      <w:r>
        <w:rPr>
          <w:rFonts w:hint="eastAsia" w:ascii="Calibri" w:hAnsi="Calibri"/>
          <w:b/>
          <w:bCs/>
          <w:color w:val="auto"/>
          <w:sz w:val="21"/>
          <w:szCs w:val="21"/>
          <w:highlight w:val="none"/>
          <w:lang w:val="en-US" w:eastAsia="zh-CN"/>
        </w:rPr>
        <w:t>格式</w:t>
      </w:r>
    </w:p>
    <w:p w14:paraId="1BF80C22">
      <w:pPr>
        <w:rPr>
          <w:rFonts w:hint="eastAsia" w:ascii="Calibri" w:hAnsi="Calibri"/>
          <w:b/>
          <w:bCs/>
          <w:color w:val="auto"/>
          <w:sz w:val="21"/>
          <w:szCs w:val="21"/>
          <w:highlight w:val="none"/>
          <w:lang w:val="en-US" w:eastAsia="zh-CN"/>
        </w:rPr>
      </w:pPr>
    </w:p>
    <w:tbl>
      <w:tblPr>
        <w:tblStyle w:val="6"/>
        <w:tblW w:w="10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1292"/>
        <w:gridCol w:w="2216"/>
        <w:gridCol w:w="3361"/>
      </w:tblGrid>
      <w:tr w14:paraId="6144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591" w:type="dxa"/>
            <w:vAlign w:val="center"/>
          </w:tcPr>
          <w:p w14:paraId="16FE6383">
            <w:pPr>
              <w:jc w:val="center"/>
              <w:rPr>
                <w:rFonts w:hint="eastAsia" w:ascii="仿宋" w:hAnsi="仿宋" w:eastAsia="仿宋" w:cs="Times New Roman"/>
                <w:b/>
                <w:bCs/>
                <w:color w:val="auto"/>
                <w:kern w:val="2"/>
                <w:sz w:val="21"/>
                <w:szCs w:val="21"/>
                <w:highlight w:val="none"/>
                <w:lang w:val="en-US" w:eastAsia="zh-CN" w:bidi="ar-SA"/>
              </w:rPr>
            </w:pPr>
            <w:r>
              <w:rPr>
                <w:rFonts w:hint="eastAsia" w:ascii="仿宋" w:hAnsi="仿宋" w:eastAsia="仿宋" w:cs="Times New Roman"/>
                <w:b/>
                <w:bCs/>
                <w:color w:val="auto"/>
                <w:kern w:val="2"/>
                <w:sz w:val="21"/>
                <w:szCs w:val="21"/>
                <w:highlight w:val="none"/>
                <w:lang w:val="en-US" w:eastAsia="zh-CN" w:bidi="ar-SA"/>
              </w:rPr>
              <w:t>项目名称</w:t>
            </w:r>
          </w:p>
        </w:tc>
        <w:tc>
          <w:tcPr>
            <w:tcW w:w="1292" w:type="dxa"/>
            <w:vAlign w:val="center"/>
          </w:tcPr>
          <w:p w14:paraId="615359CA">
            <w:pPr>
              <w:jc w:val="center"/>
              <w:rPr>
                <w:rFonts w:hint="default"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数量</w:t>
            </w:r>
          </w:p>
        </w:tc>
        <w:tc>
          <w:tcPr>
            <w:tcW w:w="2216" w:type="dxa"/>
            <w:vAlign w:val="center"/>
          </w:tcPr>
          <w:p w14:paraId="55F47DF3">
            <w:pPr>
              <w:jc w:val="center"/>
              <w:rPr>
                <w:rFonts w:hint="default" w:ascii="仿宋" w:hAnsi="仿宋" w:eastAsia="仿宋" w:cs="Times New Roman"/>
                <w:b/>
                <w:bCs/>
                <w:color w:val="auto"/>
                <w:kern w:val="2"/>
                <w:sz w:val="21"/>
                <w:szCs w:val="21"/>
                <w:highlight w:val="none"/>
                <w:lang w:val="en-US" w:eastAsia="zh-CN" w:bidi="ar-SA"/>
              </w:rPr>
            </w:pPr>
            <w:r>
              <w:rPr>
                <w:rFonts w:hint="eastAsia" w:ascii="仿宋" w:hAnsi="仿宋" w:eastAsia="仿宋" w:cs="Times New Roman"/>
                <w:b/>
                <w:bCs/>
                <w:color w:val="auto"/>
                <w:kern w:val="2"/>
                <w:sz w:val="21"/>
                <w:szCs w:val="21"/>
                <w:highlight w:val="none"/>
                <w:lang w:val="en-US" w:eastAsia="zh-CN" w:bidi="ar-SA"/>
              </w:rPr>
              <w:t>单位</w:t>
            </w:r>
          </w:p>
        </w:tc>
        <w:tc>
          <w:tcPr>
            <w:tcW w:w="3361" w:type="dxa"/>
            <w:vAlign w:val="center"/>
          </w:tcPr>
          <w:p w14:paraId="0DF09196">
            <w:pPr>
              <w:jc w:val="center"/>
              <w:rPr>
                <w:rFonts w:hint="eastAsia" w:ascii="仿宋" w:hAnsi="仿宋" w:eastAsia="仿宋" w:cs="Times New Roman"/>
                <w:b/>
                <w:bCs/>
                <w:color w:val="auto"/>
                <w:kern w:val="2"/>
                <w:sz w:val="21"/>
                <w:szCs w:val="21"/>
                <w:highlight w:val="none"/>
                <w:lang w:val="en-US" w:eastAsia="zh-CN" w:bidi="ar-SA"/>
              </w:rPr>
            </w:pPr>
            <w:r>
              <w:rPr>
                <w:rFonts w:hint="eastAsia" w:ascii="仿宋" w:hAnsi="仿宋" w:eastAsia="仿宋" w:cs="Times New Roman"/>
                <w:b/>
                <w:bCs/>
                <w:color w:val="auto"/>
                <w:kern w:val="2"/>
                <w:sz w:val="21"/>
                <w:szCs w:val="21"/>
                <w:highlight w:val="none"/>
                <w:lang w:val="en-US" w:eastAsia="zh-CN" w:bidi="ar-SA"/>
              </w:rPr>
              <w:t>单价（万元）</w:t>
            </w:r>
          </w:p>
        </w:tc>
      </w:tr>
      <w:tr w14:paraId="3BC5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3591" w:type="dxa"/>
            <w:vAlign w:val="center"/>
          </w:tcPr>
          <w:p w14:paraId="7ADC3640">
            <w:pPr>
              <w:numPr>
                <w:ilvl w:val="0"/>
                <w:numId w:val="0"/>
              </w:numP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b w:val="0"/>
                <w:bCs w:val="0"/>
                <w:i w:val="0"/>
                <w:iCs w:val="0"/>
                <w:caps w:val="0"/>
                <w:color w:val="0F1115"/>
                <w:spacing w:val="0"/>
                <w:sz w:val="21"/>
                <w:szCs w:val="21"/>
                <w:shd w:val="clear" w:fill="FFFFFF"/>
                <w:lang w:val="en-US" w:eastAsia="zh-CN"/>
              </w:rPr>
              <w:t>注意力训练设备</w:t>
            </w:r>
          </w:p>
        </w:tc>
        <w:tc>
          <w:tcPr>
            <w:tcW w:w="1292" w:type="dxa"/>
            <w:vAlign w:val="center"/>
          </w:tcPr>
          <w:p w14:paraId="1076E4E8">
            <w:pPr>
              <w:jc w:val="center"/>
              <w:rPr>
                <w:rFonts w:hint="default"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1</w:t>
            </w:r>
          </w:p>
        </w:tc>
        <w:tc>
          <w:tcPr>
            <w:tcW w:w="2216" w:type="dxa"/>
            <w:vAlign w:val="center"/>
          </w:tcPr>
          <w:p w14:paraId="224BB96F">
            <w:pPr>
              <w:jc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台</w:t>
            </w:r>
          </w:p>
        </w:tc>
        <w:tc>
          <w:tcPr>
            <w:tcW w:w="3361" w:type="dxa"/>
            <w:vAlign w:val="center"/>
          </w:tcPr>
          <w:p w14:paraId="045EFEA7">
            <w:pPr>
              <w:jc w:val="center"/>
              <w:rPr>
                <w:rFonts w:hint="eastAsia" w:ascii="仿宋" w:hAnsi="仿宋" w:eastAsia="仿宋" w:cs="仿宋"/>
                <w:color w:val="auto"/>
                <w:kern w:val="2"/>
                <w:sz w:val="21"/>
                <w:szCs w:val="21"/>
                <w:highlight w:val="none"/>
                <w:lang w:val="en-US" w:eastAsia="zh-CN" w:bidi="ar-SA"/>
              </w:rPr>
            </w:pPr>
          </w:p>
        </w:tc>
      </w:tr>
      <w:tr w14:paraId="01A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591" w:type="dxa"/>
            <w:vAlign w:val="center"/>
          </w:tcPr>
          <w:p w14:paraId="2404947E">
            <w:pPr>
              <w:numPr>
                <w:ilvl w:val="0"/>
                <w:numId w:val="0"/>
              </w:numPr>
              <w:tabs>
                <w:tab w:val="left" w:pos="1143"/>
              </w:tabs>
              <w:jc w:val="both"/>
              <w:rPr>
                <w:rFonts w:hint="eastAsia" w:ascii="仿宋" w:hAnsi="仿宋" w:eastAsia="仿宋" w:cs="仿宋"/>
                <w:b w:val="0"/>
                <w:bCs w:val="0"/>
                <w:i w:val="0"/>
                <w:iCs w:val="0"/>
                <w:caps w:val="0"/>
                <w:color w:val="0F1115"/>
                <w:spacing w:val="0"/>
                <w:sz w:val="21"/>
                <w:szCs w:val="21"/>
                <w:shd w:val="clear" w:fill="FFFFFF"/>
                <w:lang w:val="en-US" w:eastAsia="zh-CN"/>
              </w:rPr>
            </w:pPr>
            <w:r>
              <w:rPr>
                <w:rFonts w:hint="eastAsia" w:ascii="仿宋" w:hAnsi="仿宋" w:eastAsia="仿宋" w:cs="仿宋"/>
                <w:b w:val="0"/>
                <w:bCs w:val="0"/>
                <w:i w:val="0"/>
                <w:iCs w:val="0"/>
                <w:caps w:val="0"/>
                <w:color w:val="0F1115"/>
                <w:spacing w:val="0"/>
                <w:sz w:val="21"/>
                <w:szCs w:val="21"/>
                <w:shd w:val="clear" w:fill="FFFFFF"/>
                <w:lang w:val="en-US" w:eastAsia="zh-CN"/>
              </w:rPr>
              <w:t>构音评估与训练系统</w:t>
            </w:r>
          </w:p>
        </w:tc>
        <w:tc>
          <w:tcPr>
            <w:tcW w:w="1292" w:type="dxa"/>
            <w:vAlign w:val="center"/>
          </w:tcPr>
          <w:p w14:paraId="273B71B3">
            <w:pPr>
              <w:jc w:val="center"/>
              <w:rPr>
                <w:rFonts w:hint="default"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1</w:t>
            </w:r>
          </w:p>
        </w:tc>
        <w:tc>
          <w:tcPr>
            <w:tcW w:w="2216" w:type="dxa"/>
            <w:vAlign w:val="center"/>
          </w:tcPr>
          <w:p w14:paraId="2C97E1EA">
            <w:pPr>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台</w:t>
            </w:r>
          </w:p>
        </w:tc>
        <w:tc>
          <w:tcPr>
            <w:tcW w:w="3361" w:type="dxa"/>
            <w:vAlign w:val="center"/>
          </w:tcPr>
          <w:p w14:paraId="3A70C6E3">
            <w:pPr>
              <w:jc w:val="center"/>
              <w:rPr>
                <w:rFonts w:hint="eastAsia" w:ascii="仿宋" w:hAnsi="仿宋" w:eastAsia="仿宋" w:cs="仿宋"/>
                <w:color w:val="auto"/>
                <w:kern w:val="2"/>
                <w:sz w:val="21"/>
                <w:szCs w:val="21"/>
                <w:highlight w:val="none"/>
                <w:lang w:val="en-US" w:eastAsia="zh-CN" w:bidi="ar-SA"/>
              </w:rPr>
            </w:pPr>
          </w:p>
        </w:tc>
      </w:tr>
      <w:tr w14:paraId="75E3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099" w:type="dxa"/>
            <w:gridSpan w:val="3"/>
            <w:vAlign w:val="center"/>
          </w:tcPr>
          <w:p w14:paraId="05B32115">
            <w:pPr>
              <w:jc w:val="center"/>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合计金额：</w:t>
            </w:r>
          </w:p>
        </w:tc>
        <w:tc>
          <w:tcPr>
            <w:tcW w:w="3361" w:type="dxa"/>
            <w:vAlign w:val="center"/>
          </w:tcPr>
          <w:p w14:paraId="058374A3">
            <w:pPr>
              <w:jc w:val="center"/>
              <w:rPr>
                <w:rFonts w:hint="eastAsia" w:ascii="仿宋" w:hAnsi="仿宋" w:eastAsia="仿宋" w:cs="仿宋"/>
                <w:color w:val="auto"/>
                <w:kern w:val="2"/>
                <w:sz w:val="21"/>
                <w:szCs w:val="21"/>
                <w:highlight w:val="none"/>
                <w:lang w:val="en-US" w:eastAsia="zh-CN" w:bidi="ar-SA"/>
              </w:rPr>
            </w:pPr>
          </w:p>
        </w:tc>
      </w:tr>
      <w:tr w14:paraId="337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0460" w:type="dxa"/>
            <w:gridSpan w:val="4"/>
            <w:vAlign w:val="center"/>
          </w:tcPr>
          <w:p w14:paraId="1C714BDD">
            <w:pPr>
              <w:pStyle w:val="3"/>
              <w:numPr>
                <w:ilvl w:val="0"/>
                <w:numId w:val="0"/>
              </w:numPr>
              <w:spacing w:after="0"/>
              <w:ind w:left="0" w:leftChars="0" w:firstLine="0" w:firstLineChars="0"/>
              <w:jc w:val="center"/>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大写总价（元）：</w:t>
            </w:r>
          </w:p>
        </w:tc>
      </w:tr>
    </w:tbl>
    <w:p w14:paraId="3C5F218F">
      <w:pPr>
        <w:pStyle w:val="2"/>
        <w:rPr>
          <w:rFonts w:hint="eastAsia"/>
          <w:sz w:val="21"/>
          <w:szCs w:val="21"/>
          <w:highlight w:val="none"/>
          <w:lang w:val="en-US" w:eastAsia="zh-CN"/>
        </w:rPr>
      </w:pPr>
    </w:p>
    <w:p w14:paraId="1C402287">
      <w:pPr>
        <w:rPr>
          <w:rFonts w:hint="eastAsia"/>
          <w:sz w:val="21"/>
          <w:szCs w:val="21"/>
          <w:highlight w:val="none"/>
          <w:lang w:val="en-US" w:eastAsia="zh-CN"/>
        </w:rPr>
      </w:pPr>
    </w:p>
    <w:p w14:paraId="59D0C6F3">
      <w:pPr>
        <w:jc w:val="left"/>
        <w:rPr>
          <w:rFonts w:hint="eastAsia" w:ascii="仿宋" w:hAnsi="仿宋" w:eastAsia="仿宋" w:cs="Times New Roman"/>
          <w:color w:val="0000FF"/>
          <w:kern w:val="2"/>
          <w:sz w:val="21"/>
          <w:szCs w:val="21"/>
          <w:highlight w:val="none"/>
          <w:lang w:val="en-US" w:eastAsia="zh-CN" w:bidi="ar-SA"/>
        </w:rPr>
      </w:pPr>
      <w:r>
        <w:rPr>
          <w:rFonts w:hint="eastAsia" w:ascii="仿宋" w:hAnsi="仿宋" w:eastAsia="仿宋" w:cs="Times New Roman"/>
          <w:color w:val="auto"/>
          <w:kern w:val="2"/>
          <w:sz w:val="21"/>
          <w:szCs w:val="21"/>
          <w:highlight w:val="none"/>
          <w:lang w:val="en-US" w:eastAsia="zh-CN" w:bidi="ar-SA"/>
        </w:rPr>
        <w:t>备注：报价表如有列举项目不全的，各报价公司可以在原表上添项，不能改变原表格内容，单价报价最多保留小数点后两位。报价合计总价在列表末汇总，此报价单须单独密封。</w:t>
      </w:r>
    </w:p>
    <w:p w14:paraId="4111EBAA">
      <w:pPr>
        <w:rPr>
          <w:sz w:val="21"/>
          <w:szCs w:val="21"/>
          <w:highlight w:val="none"/>
        </w:rPr>
      </w:pPr>
    </w:p>
    <w:p w14:paraId="5E8F257C">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D2CC3"/>
    <w:rsid w:val="0F001EC4"/>
    <w:rsid w:val="34A90CC1"/>
    <w:rsid w:val="3A424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ody Text"/>
    <w:basedOn w:val="1"/>
    <w:next w:val="1"/>
    <w:qFormat/>
    <w:uiPriority w:val="99"/>
    <w:pPr>
      <w:spacing w:after="120"/>
    </w:pPr>
    <w:rPr>
      <w:rFonts w:ascii="宋体" w:hAnsi="Times New Roman"/>
      <w:kern w:val="0"/>
      <w:sz w:val="34"/>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表段落1"/>
    <w:basedOn w:val="1"/>
    <w:qFormat/>
    <w:uiPriority w:val="0"/>
    <w:pPr>
      <w:spacing w:line="360" w:lineRule="auto"/>
      <w:ind w:firstLine="420"/>
    </w:pPr>
    <w:rPr>
      <w:color w:val="000000"/>
      <w:sz w:val="24"/>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1106</Words>
  <Characters>1156</Characters>
  <Lines>0</Lines>
  <Paragraphs>0</Paragraphs>
  <TotalTime>4</TotalTime>
  <ScaleCrop>false</ScaleCrop>
  <LinksUpToDate>false</LinksUpToDate>
  <CharactersWithSpaces>1166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2026-09-23T10:39:00Z</dcterms:created>
  <dc:creator>HUAWEI</dc:creator>
  <cp:lastModifiedBy>李杨</cp:lastModifiedBy>
  <dcterms:modified xsi:type="dcterms:W3CDTF">2026-09-24T03:27:19Z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eyJoZGlkIjoiZWNhY2Q1NTQ2N2E4NDQ3NjNkNDVlOGZlYjRmNTM4NDIiLCJ1c2VySWQiOiIzMDIyMTIzMjkifQ==</vt:lpwstr>
  </property>
  <property fmtid="{D5CDD505-2E9C-101B-9397-08002B2CF9AE}" pid="4" name="ICV">
    <vt:lpwstr>5FE53B441698402394E5C4F9E1D730C8_13</vt:lpwstr>
  </property>
</Properties>
</file>