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C4FC0">
      <w:pPr>
        <w:pStyle w:val="2"/>
        <w:spacing w:before="106" w:line="360" w:lineRule="auto"/>
        <w:ind w:right="-64" w:rightChars="-29" w:firstLine="964" w:firstLineChars="400"/>
        <w:rPr>
          <w:rFonts w:hint="eastAsia" w:ascii="宋体" w:hAnsi="宋体" w:eastAsia="宋体" w:cs="宋体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lang w:val="en-US" w:eastAsia="zh-CN"/>
        </w:rPr>
        <w:t>一、项目名称</w:t>
      </w:r>
    </w:p>
    <w:p w14:paraId="0A19FA06">
      <w:pPr>
        <w:pStyle w:val="2"/>
        <w:spacing w:before="106" w:line="360" w:lineRule="auto"/>
        <w:ind w:right="-64" w:rightChars="-29" w:firstLine="964" w:firstLineChars="40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采购项目名称：</w:t>
      </w:r>
      <w:r>
        <w:rPr>
          <w:rFonts w:hint="eastAsia" w:ascii="宋体" w:hAnsi="宋体" w:eastAsia="宋体" w:cs="宋体"/>
          <w:b/>
          <w:bCs/>
          <w:lang w:val="en-US" w:eastAsia="zh-CN"/>
        </w:rPr>
        <w:t>成都市新津区妇幼保健计划生育服务中心电梯维保服务采购项目</w:t>
      </w:r>
    </w:p>
    <w:p w14:paraId="5ABAEE8C">
      <w:pPr>
        <w:pStyle w:val="2"/>
        <w:spacing w:before="106" w:line="360" w:lineRule="auto"/>
        <w:ind w:right="-64" w:rightChars="-29" w:firstLine="964" w:firstLineChars="40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二、采购服务项目技术参数要求</w:t>
      </w:r>
    </w:p>
    <w:p w14:paraId="0647E081">
      <w:pPr>
        <w:pStyle w:val="2"/>
        <w:rPr>
          <w:rFonts w:hint="eastAsia" w:ascii="宋体" w:hAnsi="宋体" w:eastAsia="宋体" w:cs="宋体"/>
          <w:b/>
          <w:bCs/>
          <w:lang w:val="en-US"/>
        </w:rPr>
      </w:pPr>
    </w:p>
    <w:tbl>
      <w:tblPr>
        <w:tblStyle w:val="3"/>
        <w:tblW w:w="0" w:type="auto"/>
        <w:tblInd w:w="6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843"/>
        <w:gridCol w:w="1259"/>
        <w:gridCol w:w="1257"/>
        <w:gridCol w:w="1939"/>
      </w:tblGrid>
      <w:tr w14:paraId="2AC5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68EB1CD9">
            <w:pPr>
              <w:pStyle w:val="2"/>
              <w:spacing w:line="499" w:lineRule="exact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1843" w:type="dxa"/>
            <w:noWrap w:val="0"/>
            <w:vAlign w:val="center"/>
          </w:tcPr>
          <w:p w14:paraId="78D6903C">
            <w:pPr>
              <w:pStyle w:val="2"/>
              <w:spacing w:line="4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电梯品牌型号</w:t>
            </w:r>
          </w:p>
        </w:tc>
        <w:tc>
          <w:tcPr>
            <w:tcW w:w="1259" w:type="dxa"/>
            <w:noWrap w:val="0"/>
            <w:vAlign w:val="center"/>
          </w:tcPr>
          <w:p w14:paraId="2CF5E362">
            <w:pPr>
              <w:pStyle w:val="2"/>
              <w:spacing w:line="4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层/站</w:t>
            </w:r>
          </w:p>
        </w:tc>
        <w:tc>
          <w:tcPr>
            <w:tcW w:w="1257" w:type="dxa"/>
            <w:noWrap w:val="0"/>
            <w:vAlign w:val="center"/>
          </w:tcPr>
          <w:p w14:paraId="740B162B">
            <w:pPr>
              <w:pStyle w:val="2"/>
              <w:spacing w:line="420" w:lineRule="exact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台数(台)</w:t>
            </w:r>
          </w:p>
        </w:tc>
        <w:tc>
          <w:tcPr>
            <w:tcW w:w="1939" w:type="dxa"/>
            <w:noWrap w:val="0"/>
            <w:vAlign w:val="top"/>
          </w:tcPr>
          <w:p w14:paraId="18BEF294">
            <w:pPr>
              <w:pStyle w:val="2"/>
              <w:spacing w:line="499" w:lineRule="exact"/>
              <w:ind w:firstLine="720" w:firstLineChars="3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备注</w:t>
            </w:r>
          </w:p>
        </w:tc>
      </w:tr>
      <w:tr w14:paraId="65862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65FAF92F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843" w:type="dxa"/>
            <w:noWrap w:val="0"/>
            <w:vAlign w:val="top"/>
          </w:tcPr>
          <w:p w14:paraId="6A20A7CD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永日扶梯</w:t>
            </w:r>
          </w:p>
        </w:tc>
        <w:tc>
          <w:tcPr>
            <w:tcW w:w="1259" w:type="dxa"/>
            <w:noWrap w:val="0"/>
            <w:vAlign w:val="top"/>
          </w:tcPr>
          <w:p w14:paraId="2AD13B2C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</w:t>
            </w:r>
          </w:p>
        </w:tc>
        <w:tc>
          <w:tcPr>
            <w:tcW w:w="1257" w:type="dxa"/>
            <w:noWrap w:val="0"/>
            <w:vAlign w:val="top"/>
          </w:tcPr>
          <w:p w14:paraId="74BB8B67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</w:t>
            </w:r>
          </w:p>
        </w:tc>
        <w:tc>
          <w:tcPr>
            <w:tcW w:w="1939" w:type="dxa"/>
            <w:noWrap w:val="0"/>
            <w:vAlign w:val="top"/>
          </w:tcPr>
          <w:p w14:paraId="60EDE1FE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6B68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08600978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843" w:type="dxa"/>
            <w:noWrap w:val="0"/>
            <w:vAlign w:val="top"/>
          </w:tcPr>
          <w:p w14:paraId="5822863B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永日客梯</w:t>
            </w:r>
          </w:p>
        </w:tc>
        <w:tc>
          <w:tcPr>
            <w:tcW w:w="1259" w:type="dxa"/>
            <w:noWrap w:val="0"/>
            <w:vAlign w:val="top"/>
          </w:tcPr>
          <w:p w14:paraId="6FE466C2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</w:t>
            </w:r>
          </w:p>
        </w:tc>
        <w:tc>
          <w:tcPr>
            <w:tcW w:w="1257" w:type="dxa"/>
            <w:noWrap w:val="0"/>
            <w:vAlign w:val="top"/>
          </w:tcPr>
          <w:p w14:paraId="287D6B90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</w:t>
            </w:r>
          </w:p>
        </w:tc>
        <w:tc>
          <w:tcPr>
            <w:tcW w:w="1939" w:type="dxa"/>
            <w:noWrap w:val="0"/>
            <w:vAlign w:val="top"/>
          </w:tcPr>
          <w:p w14:paraId="6D47070E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0947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56A07228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1843" w:type="dxa"/>
            <w:noWrap w:val="0"/>
            <w:vAlign w:val="top"/>
          </w:tcPr>
          <w:p w14:paraId="35E72A5D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永日污梯</w:t>
            </w:r>
          </w:p>
        </w:tc>
        <w:tc>
          <w:tcPr>
            <w:tcW w:w="1259" w:type="dxa"/>
            <w:noWrap w:val="0"/>
            <w:vAlign w:val="top"/>
          </w:tcPr>
          <w:p w14:paraId="4984FBB5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</w:t>
            </w:r>
          </w:p>
        </w:tc>
        <w:tc>
          <w:tcPr>
            <w:tcW w:w="1257" w:type="dxa"/>
            <w:noWrap w:val="0"/>
            <w:vAlign w:val="top"/>
          </w:tcPr>
          <w:p w14:paraId="0ACD3992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</w:t>
            </w:r>
          </w:p>
        </w:tc>
        <w:tc>
          <w:tcPr>
            <w:tcW w:w="1939" w:type="dxa"/>
            <w:noWrap w:val="0"/>
            <w:vAlign w:val="top"/>
          </w:tcPr>
          <w:p w14:paraId="3DC75155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CDA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3ED36AAB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1843" w:type="dxa"/>
            <w:noWrap w:val="0"/>
            <w:vAlign w:val="top"/>
          </w:tcPr>
          <w:p w14:paraId="1874BD6C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永日污梯</w:t>
            </w:r>
          </w:p>
        </w:tc>
        <w:tc>
          <w:tcPr>
            <w:tcW w:w="1259" w:type="dxa"/>
            <w:noWrap w:val="0"/>
            <w:vAlign w:val="top"/>
          </w:tcPr>
          <w:p w14:paraId="11653D35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9</w:t>
            </w:r>
          </w:p>
        </w:tc>
        <w:tc>
          <w:tcPr>
            <w:tcW w:w="1257" w:type="dxa"/>
            <w:noWrap w:val="0"/>
            <w:vAlign w:val="top"/>
          </w:tcPr>
          <w:p w14:paraId="49867015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939" w:type="dxa"/>
            <w:noWrap w:val="0"/>
            <w:vAlign w:val="top"/>
          </w:tcPr>
          <w:p w14:paraId="5F3AF2B1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59DC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5149ECD3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1843" w:type="dxa"/>
            <w:noWrap w:val="0"/>
            <w:vAlign w:val="top"/>
          </w:tcPr>
          <w:p w14:paraId="014FC104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永日电梯</w:t>
            </w:r>
          </w:p>
        </w:tc>
        <w:tc>
          <w:tcPr>
            <w:tcW w:w="1259" w:type="dxa"/>
            <w:noWrap w:val="0"/>
            <w:vAlign w:val="top"/>
          </w:tcPr>
          <w:p w14:paraId="15220C1F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9</w:t>
            </w:r>
          </w:p>
        </w:tc>
        <w:tc>
          <w:tcPr>
            <w:tcW w:w="1257" w:type="dxa"/>
            <w:noWrap w:val="0"/>
            <w:vAlign w:val="top"/>
          </w:tcPr>
          <w:p w14:paraId="0E7B7067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939" w:type="dxa"/>
            <w:noWrap w:val="0"/>
            <w:vAlign w:val="top"/>
          </w:tcPr>
          <w:p w14:paraId="37053B52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299B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682ED8BE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1843" w:type="dxa"/>
            <w:noWrap w:val="0"/>
            <w:vAlign w:val="top"/>
          </w:tcPr>
          <w:p w14:paraId="5A57BA61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永日客梯</w:t>
            </w:r>
          </w:p>
        </w:tc>
        <w:tc>
          <w:tcPr>
            <w:tcW w:w="1259" w:type="dxa"/>
            <w:noWrap w:val="0"/>
            <w:vAlign w:val="top"/>
          </w:tcPr>
          <w:p w14:paraId="2615DAD2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9</w:t>
            </w:r>
          </w:p>
        </w:tc>
        <w:tc>
          <w:tcPr>
            <w:tcW w:w="1257" w:type="dxa"/>
            <w:noWrap w:val="0"/>
            <w:vAlign w:val="top"/>
          </w:tcPr>
          <w:p w14:paraId="1AA688CD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</w:t>
            </w:r>
          </w:p>
        </w:tc>
        <w:tc>
          <w:tcPr>
            <w:tcW w:w="1939" w:type="dxa"/>
            <w:noWrap w:val="0"/>
            <w:vAlign w:val="top"/>
          </w:tcPr>
          <w:p w14:paraId="0ECC3BF5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FEB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13BFD0B6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</w:t>
            </w:r>
          </w:p>
        </w:tc>
        <w:tc>
          <w:tcPr>
            <w:tcW w:w="1843" w:type="dxa"/>
            <w:noWrap w:val="0"/>
            <w:vAlign w:val="top"/>
          </w:tcPr>
          <w:p w14:paraId="0D9A80B1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永日杂物梯</w:t>
            </w:r>
          </w:p>
        </w:tc>
        <w:tc>
          <w:tcPr>
            <w:tcW w:w="1259" w:type="dxa"/>
            <w:noWrap w:val="0"/>
            <w:vAlign w:val="top"/>
          </w:tcPr>
          <w:p w14:paraId="75B88E38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</w:t>
            </w:r>
          </w:p>
        </w:tc>
        <w:tc>
          <w:tcPr>
            <w:tcW w:w="1257" w:type="dxa"/>
            <w:noWrap w:val="0"/>
            <w:vAlign w:val="top"/>
          </w:tcPr>
          <w:p w14:paraId="309C000B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939" w:type="dxa"/>
            <w:noWrap w:val="0"/>
            <w:vAlign w:val="top"/>
          </w:tcPr>
          <w:p w14:paraId="277A5D73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718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6" w:type="dxa"/>
            <w:noWrap w:val="0"/>
            <w:vAlign w:val="top"/>
          </w:tcPr>
          <w:p w14:paraId="7539D901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2" w:type="dxa"/>
            <w:gridSpan w:val="2"/>
            <w:noWrap w:val="0"/>
            <w:vAlign w:val="top"/>
          </w:tcPr>
          <w:p w14:paraId="3EC3A4D6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合计</w:t>
            </w:r>
          </w:p>
        </w:tc>
        <w:tc>
          <w:tcPr>
            <w:tcW w:w="1257" w:type="dxa"/>
            <w:noWrap w:val="0"/>
            <w:vAlign w:val="top"/>
          </w:tcPr>
          <w:p w14:paraId="24264900">
            <w:pPr>
              <w:pStyle w:val="2"/>
              <w:spacing w:line="499" w:lineRule="exact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11台</w:t>
            </w:r>
          </w:p>
        </w:tc>
        <w:tc>
          <w:tcPr>
            <w:tcW w:w="1939" w:type="dxa"/>
            <w:noWrap w:val="0"/>
            <w:vAlign w:val="top"/>
          </w:tcPr>
          <w:p w14:paraId="14206C79">
            <w:pPr>
              <w:pStyle w:val="2"/>
              <w:spacing w:line="499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p w14:paraId="7D22A97A">
      <w:pPr>
        <w:rPr>
          <w:rFonts w:hint="eastAsia" w:ascii="宋体" w:hAnsi="宋体" w:eastAsia="宋体" w:cs="宋体"/>
          <w:b/>
          <w:bCs/>
          <w:sz w:val="24"/>
          <w:szCs w:val="24"/>
          <w:lang w:val="en-US"/>
        </w:rPr>
      </w:pPr>
    </w:p>
    <w:p w14:paraId="39C771FB">
      <w:pPr>
        <w:pStyle w:val="2"/>
        <w:rPr>
          <w:rFonts w:hint="eastAsia" w:ascii="宋体" w:hAnsi="宋体" w:eastAsia="宋体" w:cs="宋体"/>
          <w:b/>
          <w:bCs/>
          <w:lang w:val="en-US"/>
        </w:rPr>
      </w:pPr>
    </w:p>
    <w:p w14:paraId="5836F93A">
      <w:pPr>
        <w:pStyle w:val="2"/>
        <w:spacing w:before="106" w:line="360" w:lineRule="auto"/>
        <w:ind w:right="-64" w:rightChars="-29" w:firstLine="482" w:firstLineChars="200"/>
        <w:rPr>
          <w:rFonts w:hint="eastAsia" w:ascii="宋体" w:hAnsi="宋体" w:eastAsia="宋体" w:cs="宋体"/>
          <w:b/>
          <w:bCs/>
          <w:lang w:val="en-US"/>
        </w:rPr>
      </w:pPr>
      <w:r>
        <w:rPr>
          <w:rFonts w:hint="eastAsia" w:ascii="宋体" w:hAnsi="宋体" w:eastAsia="宋体" w:cs="宋体"/>
          <w:b/>
          <w:bCs/>
          <w:lang w:val="en-US"/>
        </w:rPr>
        <w:t>三、技术参数要求</w:t>
      </w:r>
    </w:p>
    <w:p w14:paraId="7EC085C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资质要求：</w:t>
      </w:r>
    </w:p>
    <w:p w14:paraId="6F2935D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电梯维保经营许可证和本地相关部门备案证明等相关内容。</w:t>
      </w:r>
    </w:p>
    <w:p w14:paraId="2EB1285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人员要求：</w:t>
      </w:r>
    </w:p>
    <w:p w14:paraId="643C670B">
      <w:pPr>
        <w:spacing w:line="360" w:lineRule="auto"/>
        <w:ind w:firstLine="44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</w:rPr>
        <w:t>★</w:t>
      </w:r>
      <w:r>
        <w:rPr>
          <w:rFonts w:hint="eastAsia" w:ascii="宋体" w:hAnsi="宋体" w:eastAsia="宋体" w:cs="宋体"/>
          <w:sz w:val="24"/>
          <w:szCs w:val="24"/>
        </w:rPr>
        <w:t>为该项目配备安全员（必须持有安全员证），维保工人（必须持有电梯维保工人上岗证）。</w:t>
      </w:r>
    </w:p>
    <w:p w14:paraId="65C6FDA8"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技术要求：</w:t>
      </w:r>
    </w:p>
    <w:p w14:paraId="59E8A262">
      <w:pPr>
        <w:spacing w:line="360" w:lineRule="auto"/>
        <w:ind w:firstLine="44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</w:rPr>
        <w:t>★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）由于医院是人员密集的社会公共服务场所，电梯维保业务必须按照国家有关规定进行定期维护、保养和年检。维保级别需进行三级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维保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55823A77">
      <w:pPr>
        <w:spacing w:line="360" w:lineRule="auto"/>
        <w:ind w:firstLine="440" w:firstLineChars="20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</w:rPr>
        <w:t>★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）在医院向维保单位申请报修后，维保单位的维修人员应该及时响应，20分钟内到达现场进行及时维修。（提供24小时全天候急修服务，电梯发生关人故障时，在接到电话后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，投标人必须在20分钟内赶到现场紧急处理，如投标人未按上述约定时间到达现场的，采购人按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00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/>
        </w:rPr>
        <w:t>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元/次进行违约处罚，处罚费用从投标人维保费中扣除，不足以扣除的，投标人应予以补足，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/>
        </w:rPr>
        <w:t>采购人还有权委托第三方进行维修维护，由此产生的全部费用均有乙方全额承担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。累计超过48小时未响应的，采购人有权解除或终止本合同。给采购人或第三方造成任何损失的，投标人应足额赔偿。）。</w:t>
      </w:r>
    </w:p>
    <w:p w14:paraId="01F72EEC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）维保费用包含电梯全年的维护保养检修和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00.00元及以下金额的配件费用，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00.00元以上金额的配件费用需按市场行情价格向医院申报，经医院审核同意后进行购买和及时更换。</w:t>
      </w:r>
    </w:p>
    <w:p w14:paraId="6E2ADB4F">
      <w:pPr>
        <w:spacing w:line="360" w:lineRule="auto"/>
        <w:ind w:firstLine="44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</w:rPr>
        <w:t>★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/>
        </w:rPr>
        <w:t>4、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维保项目</w:t>
      </w:r>
    </w:p>
    <w:p w14:paraId="335F18F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）半月维</w:t>
      </w:r>
      <w:r>
        <w:rPr>
          <w:rFonts w:hint="eastAsia" w:ascii="宋体" w:hAnsi="宋体" w:eastAsia="宋体" w:cs="宋体"/>
          <w:sz w:val="24"/>
          <w:szCs w:val="24"/>
        </w:rPr>
        <w:t>保项目（内容）和要求</w:t>
      </w:r>
    </w:p>
    <w:tbl>
      <w:tblPr>
        <w:tblStyle w:val="3"/>
        <w:tblW w:w="87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3810"/>
        <w:gridCol w:w="4341"/>
      </w:tblGrid>
      <w:tr w14:paraId="782BA3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6414616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367C76B8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维保项目（内容）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4E085142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维保基本要求</w:t>
            </w:r>
          </w:p>
        </w:tc>
      </w:tr>
      <w:tr w14:paraId="792101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A52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E3B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机房、滑轮间环境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C99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清洁，门窗完好，照明正常</w:t>
            </w:r>
          </w:p>
        </w:tc>
      </w:tr>
      <w:tr w14:paraId="4E7615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4E8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DC5F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手动紧急操作装置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D5FB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齐全、在指定位置</w:t>
            </w:r>
          </w:p>
        </w:tc>
      </w:tr>
      <w:tr w14:paraId="509E57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F82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B801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曳引机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BBA4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运行时无异常振动和异常声响</w:t>
            </w:r>
          </w:p>
        </w:tc>
      </w:tr>
      <w:tr w14:paraId="153F33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BC08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AF9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制动器各销轴部位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972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动作灵活</w:t>
            </w:r>
          </w:p>
        </w:tc>
      </w:tr>
      <w:tr w14:paraId="7FFD51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381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0F6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制动器间隙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57B1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打开时制动衬与制动轮不应发生摩擦，间隙值复核制造单位要求</w:t>
            </w:r>
          </w:p>
        </w:tc>
      </w:tr>
      <w:tr w14:paraId="4462AD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6714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3F6F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制动器作为轿厢意外移动保护装置制停子系统时的自监测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BDA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制动力人工方式检测复核使用维护说明书要求；制动力自监测系统有记录</w:t>
            </w:r>
          </w:p>
        </w:tc>
      </w:tr>
      <w:tr w14:paraId="454D07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7575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1A4A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编码器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EFF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清洁、安装牢固</w:t>
            </w:r>
          </w:p>
        </w:tc>
      </w:tr>
      <w:tr w14:paraId="501B8D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2B68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5386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限速器各销轴部位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CA3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润滑、转动灵活、电气开关正常</w:t>
            </w:r>
          </w:p>
        </w:tc>
      </w:tr>
      <w:tr w14:paraId="6E051B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69F1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F1B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层门和轿门旁路装置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1575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5B8C59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838A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E139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紧急电动运行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EBE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522DDF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72AE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C193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轿顶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371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清洁、防护栏安全可靠</w:t>
            </w:r>
          </w:p>
        </w:tc>
      </w:tr>
      <w:tr w14:paraId="46C575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8221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ECE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轿顶检修开关、停止装置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36EE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0EB70D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68EE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57F2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导靴上油杯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3B1D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吸油毛毡齐全、油量适宜、油杯无泄漏</w:t>
            </w:r>
          </w:p>
        </w:tc>
      </w:tr>
      <w:tr w14:paraId="44B6A5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3EE7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8E25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对重/平衡重块及其压板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F6FF7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对重/平衡重块无松动，压板紧固</w:t>
            </w:r>
          </w:p>
        </w:tc>
      </w:tr>
      <w:tr w14:paraId="4D7A76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2C1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6BA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井道照明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343C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齐全、正常</w:t>
            </w:r>
          </w:p>
        </w:tc>
      </w:tr>
      <w:tr w14:paraId="11BE93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16F3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905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轿厢照明、风扇、应急照明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EB4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741E5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9687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037C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轿厢检修开关、停止装置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556F2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7F203B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0208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674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轿内报警装置、对讲系统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CFC8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7EDBB9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C5B0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71FC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轿内显示、指令按钮、IC卡系统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32E2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齐全、有效</w:t>
            </w:r>
          </w:p>
        </w:tc>
      </w:tr>
      <w:tr w14:paraId="6B559A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1725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9E61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轿门防撞击保护装置(安全触板、光幕、光电等)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0FBE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功能有效</w:t>
            </w:r>
          </w:p>
        </w:tc>
      </w:tr>
      <w:tr w14:paraId="6C41B2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B05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C56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轿门门锁电气触点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92A9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清洁、触点接触良好、接线可靠</w:t>
            </w:r>
          </w:p>
        </w:tc>
      </w:tr>
      <w:tr w14:paraId="7297F5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D8E7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AA10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轿门运行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F38B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开启和关闭工作正常</w:t>
            </w:r>
          </w:p>
        </w:tc>
      </w:tr>
      <w:tr w14:paraId="30F47F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8852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859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轿厢平层精度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F960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符合标准值</w:t>
            </w:r>
          </w:p>
        </w:tc>
      </w:tr>
      <w:tr w14:paraId="2D6FAA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1AE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E75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层站召唤、层楼显示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8BE32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齐全、有效</w:t>
            </w:r>
          </w:p>
        </w:tc>
      </w:tr>
      <w:tr w14:paraId="39393F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53D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0685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层门地坎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B10B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</w:t>
            </w:r>
          </w:p>
        </w:tc>
      </w:tr>
      <w:tr w14:paraId="0BB2A3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9BC8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0AA5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层门自动关门装置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9694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正常</w:t>
            </w:r>
          </w:p>
        </w:tc>
      </w:tr>
      <w:tr w14:paraId="013402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D70A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8D3F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层门门锁自动复位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2BD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用层门钥匙打开手动开锁装置释放后，层门门锁能自动复位</w:t>
            </w:r>
          </w:p>
        </w:tc>
      </w:tr>
      <w:tr w14:paraId="2CF08E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E355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AB8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层门门锁电气触点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DA972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清洁、触点接触良好，接线可靠</w:t>
            </w:r>
          </w:p>
        </w:tc>
      </w:tr>
      <w:tr w14:paraId="391712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E15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083D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层门锁紧元件啮合长度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B83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不小于7mm</w:t>
            </w:r>
          </w:p>
        </w:tc>
      </w:tr>
      <w:tr w14:paraId="3CB49C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BC85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069F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底坑环境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518E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清洁，无渗水、积水，照明正常</w:t>
            </w:r>
          </w:p>
        </w:tc>
      </w:tr>
      <w:tr w14:paraId="6991C1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DAAB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E092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底坑急停开关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B2A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126E80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3454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2BE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主电源开关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0F83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接线牢靠，标识清晰，功能正常，符合TSG T7001-2009附件A中2.7要求</w:t>
            </w:r>
          </w:p>
        </w:tc>
      </w:tr>
      <w:tr w14:paraId="4E1459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B982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B0D02">
            <w:pPr>
              <w:spacing w:line="360" w:lineRule="auto"/>
              <w:ind w:firstLine="42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5"/>
                <w:sz w:val="24"/>
                <w:szCs w:val="24"/>
              </w:rPr>
              <w:t>物联网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系统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425A7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数据采集及传输设备工作状态正常</w:t>
            </w:r>
          </w:p>
        </w:tc>
      </w:tr>
      <w:tr w14:paraId="3B41EF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C627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0DC9A">
            <w:pPr>
              <w:pStyle w:val="5"/>
              <w:ind w:firstLine="1680" w:firstLineChars="800"/>
              <w:rPr>
                <w:rFonts w:hint="eastAsia" w:hAnsi="宋体"/>
                <w:spacing w:val="-15"/>
              </w:rPr>
            </w:pPr>
            <w:r>
              <w:rPr>
                <w:rFonts w:hint="eastAsia" w:hAnsi="宋体"/>
                <w:spacing w:val="-15"/>
              </w:rPr>
              <w:t>门刀装置</w:t>
            </w:r>
          </w:p>
        </w:tc>
        <w:tc>
          <w:tcPr>
            <w:tcW w:w="4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F06D3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工作正常，部件齐全，无变形，固定可靠，与厅门地坎间隙符合 TSGT7001-2009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 xml:space="preserve"> 附件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A</w:t>
            </w:r>
            <w:r>
              <w:rPr>
                <w:rFonts w:hint="eastAsia" w:ascii="宋体" w:hAnsi="宋体" w:eastAsia="宋体" w:cs="宋体"/>
                <w:spacing w:val="-35"/>
                <w:sz w:val="24"/>
                <w:szCs w:val="24"/>
              </w:rPr>
              <w:t xml:space="preserve"> 中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6.12</w:t>
            </w: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 xml:space="preserve"> 的要求。</w:t>
            </w:r>
          </w:p>
        </w:tc>
      </w:tr>
    </w:tbl>
    <w:p w14:paraId="22185F9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）季度维保项目（内容）和要求</w:t>
      </w:r>
    </w:p>
    <w:p w14:paraId="4D7F0A7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季度维保项目（内容）和要求除应符合（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）的要求外，还应当符合（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）的要求。</w:t>
      </w:r>
    </w:p>
    <w:tbl>
      <w:tblPr>
        <w:tblStyle w:val="3"/>
        <w:tblW w:w="879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6"/>
        <w:gridCol w:w="3800"/>
        <w:gridCol w:w="4425"/>
      </w:tblGrid>
      <w:tr w14:paraId="78EDD2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756E65A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12452442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维保项目（内容）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14F8E321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维保基本要求</w:t>
            </w:r>
          </w:p>
        </w:tc>
      </w:tr>
      <w:tr w14:paraId="0DF535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A2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09B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减速机润滑油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B38A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油量适宜，除蜗杆伸出端外均无渗漏</w:t>
            </w:r>
          </w:p>
        </w:tc>
      </w:tr>
      <w:tr w14:paraId="004C05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CBF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74C1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制动衬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FF9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清洁，磨损量不超过制造单位要求</w:t>
            </w:r>
          </w:p>
        </w:tc>
      </w:tr>
      <w:tr w14:paraId="6987A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8CB7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66AD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编码器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43CB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37744D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EAB1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059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选层器动静触点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6E5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清洁，无烧蚀</w:t>
            </w:r>
          </w:p>
        </w:tc>
      </w:tr>
      <w:tr w14:paraId="51E263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AB7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BFF7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曳引轮槽、悬挂装置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F74E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清洁、钢丝绳无严重油腻，张力均匀，符合制造单位要求</w:t>
            </w:r>
          </w:p>
        </w:tc>
      </w:tr>
      <w:tr w14:paraId="77310B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6A0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3075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限速器轮槽、限速器钢丝绳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0FEF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清洁、无严重油腻</w:t>
            </w:r>
          </w:p>
        </w:tc>
      </w:tr>
      <w:tr w14:paraId="30CA7E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50D6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A1B8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靴衬、滚轮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257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清洁、磨损量不超过制造单位要求</w:t>
            </w:r>
          </w:p>
        </w:tc>
      </w:tr>
      <w:tr w14:paraId="469E46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90D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4A2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验证轿门关闭的电气安全装置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73E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08E544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1853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09E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层门、轿门系统中传动钢丝绳、链条、传动带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779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按照制造单位要求进行清洁、调整</w:t>
            </w:r>
          </w:p>
        </w:tc>
      </w:tr>
      <w:tr w14:paraId="4E7B7E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F945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73A7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层门门导靴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34B8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磨损量不超过制造单位要求</w:t>
            </w:r>
          </w:p>
        </w:tc>
      </w:tr>
      <w:tr w14:paraId="75E445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B926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CA71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消防开关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835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工作正常、功能有效</w:t>
            </w:r>
          </w:p>
        </w:tc>
      </w:tr>
      <w:tr w14:paraId="7BAE4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1B68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2171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耗能缓冲器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3A1C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电气安全装置功能有效、油量适宜，柱塞无锈蚀</w:t>
            </w:r>
          </w:p>
        </w:tc>
      </w:tr>
      <w:tr w14:paraId="35CDF2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16E5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F278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限速器张紧轮装置和电气安全装置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D36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566FE9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44C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EF252">
            <w:pPr>
              <w:pStyle w:val="5"/>
              <w:jc w:val="center"/>
              <w:rPr>
                <w:rFonts w:hint="eastAsia" w:hAnsi="宋体"/>
              </w:rPr>
            </w:pPr>
            <w:r>
              <w:rPr>
                <w:rFonts w:hint="eastAsia" w:hAnsi="宋体"/>
              </w:rPr>
              <w:t>选层器钢带</w:t>
            </w:r>
          </w:p>
          <w:p w14:paraId="6A2BCE7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A080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无积尘、油污，外观无破损，无异响</w:t>
            </w:r>
          </w:p>
        </w:tc>
      </w:tr>
      <w:tr w14:paraId="4EF5C0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E7D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E665">
            <w:pPr>
              <w:pStyle w:val="5"/>
              <w:jc w:val="center"/>
              <w:rPr>
                <w:rFonts w:hint="eastAsia" w:hAnsi="宋体"/>
              </w:rPr>
            </w:pPr>
            <w:r>
              <w:rPr>
                <w:rFonts w:hint="eastAsia" w:hAnsi="宋体"/>
                <w:spacing w:val="-15"/>
              </w:rPr>
              <w:t>上、下</w:t>
            </w:r>
            <w:r>
              <w:rPr>
                <w:rFonts w:hint="eastAsia" w:hAnsi="宋体"/>
              </w:rPr>
              <w:t>限位开关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D054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固定可靠，外观完好，接线牢固，工作正常，位置正确</w:t>
            </w:r>
          </w:p>
        </w:tc>
      </w:tr>
      <w:tr w14:paraId="1B922E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6536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44E58">
            <w:pPr>
              <w:pStyle w:val="5"/>
              <w:jc w:val="center"/>
              <w:rPr>
                <w:rFonts w:hint="eastAsia" w:hAnsi="宋体"/>
              </w:rPr>
            </w:pPr>
            <w:r>
              <w:rPr>
                <w:rFonts w:hint="eastAsia" w:hAnsi="宋体"/>
              </w:rPr>
              <w:t>上、下强换速开关</w:t>
            </w:r>
          </w:p>
          <w:p w14:paraId="7CBAEBA7">
            <w:pPr>
              <w:pStyle w:val="5"/>
              <w:jc w:val="center"/>
              <w:rPr>
                <w:rFonts w:hint="eastAsia" w:hAnsi="宋体"/>
                <w:spacing w:val="-15"/>
              </w:rPr>
            </w:pP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57532">
            <w:pPr>
              <w:spacing w:line="360" w:lineRule="auto"/>
              <w:ind w:firstLine="444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工作正常，固定可靠，外观无破损， 接线紧固。</w:t>
            </w:r>
          </w:p>
        </w:tc>
      </w:tr>
      <w:tr w14:paraId="3B9E57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99A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39B78">
            <w:pPr>
              <w:pStyle w:val="5"/>
              <w:rPr>
                <w:rFonts w:hint="eastAsia" w:hAnsi="宋体"/>
              </w:rPr>
            </w:pPr>
            <w:r>
              <w:rPr>
                <w:rFonts w:hint="eastAsia" w:hAnsi="宋体"/>
                <w:spacing w:val="-15"/>
              </w:rPr>
              <w:t>轿顶轮</w:t>
            </w:r>
            <w:r>
              <w:rPr>
                <w:rFonts w:hint="eastAsia" w:hAnsi="宋体"/>
                <w:spacing w:val="30"/>
              </w:rPr>
              <w:t>挡绳装置</w:t>
            </w:r>
            <w:r>
              <w:rPr>
                <w:rFonts w:hint="eastAsia" w:hAnsi="宋体"/>
              </w:rPr>
              <w:t>及防护罩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D3EB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齐全，固定牢固，安装位置符合制造单位要求</w:t>
            </w:r>
          </w:p>
        </w:tc>
      </w:tr>
      <w:tr w14:paraId="2B771D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4F9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  <w:p w14:paraId="22EB1223">
            <w:pPr>
              <w:pStyle w:val="2"/>
              <w:rPr>
                <w:rFonts w:hint="eastAsia" w:ascii="宋体" w:hAnsi="宋体" w:eastAsia="宋体" w:cs="宋体"/>
              </w:rPr>
            </w:pP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CD889">
            <w:pPr>
              <w:pStyle w:val="5"/>
              <w:rPr>
                <w:rFonts w:hint="eastAsia" w:hAnsi="宋体"/>
                <w:spacing w:val="-15"/>
              </w:rPr>
            </w:pPr>
            <w:r>
              <w:rPr>
                <w:rFonts w:hint="eastAsia" w:hAnsi="宋体"/>
              </w:rPr>
              <w:t>对重轮挡绳装置及防护罩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0483E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部件齐全，固定牢固，安装位置符合制造单位要求</w:t>
            </w:r>
          </w:p>
        </w:tc>
      </w:tr>
    </w:tbl>
    <w:p w14:paraId="2603432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）半年维保项目（内容）和要求</w:t>
      </w:r>
    </w:p>
    <w:p w14:paraId="0EEA70E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半年维保项目（内容）和要求除应符合（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）的要求外，还应符合（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）的要求。</w:t>
      </w:r>
    </w:p>
    <w:tbl>
      <w:tblPr>
        <w:tblStyle w:val="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6"/>
        <w:gridCol w:w="3800"/>
        <w:gridCol w:w="4167"/>
      </w:tblGrid>
      <w:tr w14:paraId="2D33C6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31F4B10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0DEB261C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维保项目（内容）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0A782D6D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维保基本要求</w:t>
            </w:r>
          </w:p>
        </w:tc>
      </w:tr>
      <w:tr w14:paraId="55AEF3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071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2D5A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电动机与减速机联轴器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7A2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连接无松动，弹性元件外观良好，无老化现象</w:t>
            </w:r>
          </w:p>
        </w:tc>
      </w:tr>
      <w:tr w14:paraId="2887F2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764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3A28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曳引轮、导向轮轴承部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C733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无异常声响、无振动，润滑良好</w:t>
            </w:r>
          </w:p>
        </w:tc>
      </w:tr>
      <w:tr w14:paraId="41FEB7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39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D584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曳引轮槽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EDA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磨损量不超过制造单位要求</w:t>
            </w:r>
          </w:p>
        </w:tc>
      </w:tr>
      <w:tr w14:paraId="75E3D9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76D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9C77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制动器动作状态监督装置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099C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工作正常，制动器动作可靠</w:t>
            </w:r>
          </w:p>
        </w:tc>
      </w:tr>
      <w:tr w14:paraId="67A638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5D41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050B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控制柜内各接线端子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717F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各接线紧固，整齐，线号齐全清晰</w:t>
            </w:r>
          </w:p>
        </w:tc>
      </w:tr>
      <w:tr w14:paraId="270144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C270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DC9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控制柜各仪表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2B99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显示正确</w:t>
            </w:r>
          </w:p>
        </w:tc>
      </w:tr>
      <w:tr w14:paraId="496004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D2B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2EE9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井道、对重、轿顶各反绳轮轴承部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D0F8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无异常声响，无振动，润滑良好</w:t>
            </w:r>
          </w:p>
        </w:tc>
      </w:tr>
      <w:tr w14:paraId="4F13CE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1AB9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7AFC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悬挂装置、补偿绳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D38C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磨损量，断丝数不超过要求</w:t>
            </w:r>
          </w:p>
        </w:tc>
      </w:tr>
      <w:tr w14:paraId="040736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574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475E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绳头组合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600D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螺母无松动</w:t>
            </w:r>
          </w:p>
        </w:tc>
      </w:tr>
      <w:tr w14:paraId="6161A4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AC3C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1141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限速器钢丝绳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0EC4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磨损量、断丝数不超过制造单位要求</w:t>
            </w:r>
          </w:p>
        </w:tc>
      </w:tr>
      <w:tr w14:paraId="37095C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4712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7949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层门、轿门门扇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7E3C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门扇各相关间隙符合标准值</w:t>
            </w:r>
          </w:p>
        </w:tc>
      </w:tr>
      <w:tr w14:paraId="3AC99E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44A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624C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轿门开门限制装置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CEC1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65EC3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3C6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527D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对重缓冲距离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FA85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符合标准值</w:t>
            </w:r>
          </w:p>
        </w:tc>
      </w:tr>
      <w:tr w14:paraId="13C4BE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FAF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DDF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补偿链（绳）与轿厢、对重接合处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870C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固定、无松动</w:t>
            </w:r>
          </w:p>
        </w:tc>
      </w:tr>
      <w:tr w14:paraId="3EE348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90EF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849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上、下极限开关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B5EA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4FFCAA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01B5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892CC">
            <w:pPr>
              <w:spacing w:line="360" w:lineRule="auto"/>
              <w:ind w:firstLine="40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井道</w:t>
            </w:r>
            <w:r>
              <w:rPr>
                <w:rFonts w:hint="eastAsia" w:ascii="宋体" w:hAnsi="宋体" w:eastAsia="宋体" w:cs="宋体"/>
                <w:spacing w:val="-21"/>
                <w:sz w:val="24"/>
                <w:szCs w:val="24"/>
              </w:rPr>
              <w:t>对重、轿顶</w:t>
            </w:r>
            <w:r>
              <w:rPr>
                <w:rFonts w:hint="eastAsia" w:ascii="宋体" w:hAnsi="宋体" w:eastAsia="宋体" w:cs="宋体"/>
                <w:spacing w:val="30"/>
                <w:sz w:val="24"/>
                <w:szCs w:val="24"/>
              </w:rPr>
              <w:t>各反绳轮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轴承部件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FA9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无异常声响，无振动，润滑良好</w:t>
            </w:r>
          </w:p>
        </w:tc>
      </w:tr>
      <w:tr w14:paraId="77E687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8F86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DBEED">
            <w:pPr>
              <w:spacing w:line="360" w:lineRule="auto"/>
              <w:ind w:firstLine="536" w:firstLineChars="200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</w:rPr>
              <w:t>补偿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链</w:t>
            </w:r>
          </w:p>
        </w:tc>
        <w:tc>
          <w:tcPr>
            <w:tcW w:w="4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BB9C7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磨损不超过制造厂家要求，表面无明显破损现象，运行中无异响，无严重锈蚀</w:t>
            </w:r>
          </w:p>
        </w:tc>
      </w:tr>
    </w:tbl>
    <w:p w14:paraId="72A05C8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）年度维保项目（内容）和要求</w:t>
      </w:r>
    </w:p>
    <w:p w14:paraId="5B32BB2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年度维保项目（内容）和要求除应符合（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）的要求外，还应符合（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）的要求。</w:t>
      </w:r>
    </w:p>
    <w:tbl>
      <w:tblPr>
        <w:tblStyle w:val="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8"/>
        <w:gridCol w:w="3800"/>
        <w:gridCol w:w="4045"/>
        <w:gridCol w:w="122"/>
      </w:tblGrid>
      <w:tr w14:paraId="1A0634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2AF6382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4300681A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维保项目（内容）</w:t>
            </w:r>
          </w:p>
        </w:tc>
        <w:tc>
          <w:tcPr>
            <w:tcW w:w="4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vAlign w:val="center"/>
          </w:tcPr>
          <w:p w14:paraId="57288F8C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维保基本要求</w:t>
            </w:r>
          </w:p>
        </w:tc>
      </w:tr>
      <w:tr w14:paraId="179738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0C9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EA84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减速机润滑油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CF6C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按照制造单位要求适时更换，保证油质符合要求</w:t>
            </w:r>
          </w:p>
        </w:tc>
      </w:tr>
      <w:tr w14:paraId="0C9A4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C694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2054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控制柜接触器，继电器触点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C0F4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接触良好</w:t>
            </w:r>
          </w:p>
        </w:tc>
      </w:tr>
      <w:tr w14:paraId="45668A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2C02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5209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制动器铁芯（柱塞）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D3A47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进行清洁、润滑、检查，磨损量不超过制造单位要求</w:t>
            </w:r>
          </w:p>
        </w:tc>
      </w:tr>
      <w:tr w14:paraId="268D10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CEA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989B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制动器制动能力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2787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符合制造单位要求，保持有足够的制动力，必要时进行轿厢装载125%额定载重量的制动试验</w:t>
            </w:r>
          </w:p>
        </w:tc>
      </w:tr>
      <w:tr w14:paraId="7DC08D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4952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C537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导电回路绝缘性能测试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7969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符合标准</w:t>
            </w:r>
          </w:p>
        </w:tc>
      </w:tr>
      <w:tr w14:paraId="75E34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81BA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0819"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限速器安全钳联动试验（对于使用年限不超过15年的限速器，每2年进行一次限速器动作速度校验，对于使用年限超过15年的限速器，每年进行一次限速器动作速度校验）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ED4A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5EA981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184C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51B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上行超速保护装置动作试验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90C2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12C779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A923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EFF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轿厢意外移动保护装置动作试验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5FC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工作正常</w:t>
            </w:r>
          </w:p>
        </w:tc>
      </w:tr>
      <w:tr w14:paraId="320504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9F4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246A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轿顶、轿厢架、轿门及其附件安装螺栓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86AC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紧固</w:t>
            </w:r>
          </w:p>
        </w:tc>
      </w:tr>
      <w:tr w14:paraId="5CCB79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358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5CB3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轿厢和对重/平衡重的导轨支架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84AE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固定，无松动</w:t>
            </w:r>
          </w:p>
        </w:tc>
      </w:tr>
      <w:tr w14:paraId="45A03C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84AB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EBAF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轿厢和对重/平衡重的导轨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73A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清洁、压板牢固</w:t>
            </w:r>
          </w:p>
        </w:tc>
      </w:tr>
      <w:tr w14:paraId="30F085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15B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1B06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随行电缆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A99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无损伤</w:t>
            </w:r>
          </w:p>
        </w:tc>
      </w:tr>
      <w:tr w14:paraId="051D12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361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8BD3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层门装置和地坎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2AEB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无影响正常使用的变形，各安装螺栓紧固</w:t>
            </w:r>
          </w:p>
        </w:tc>
      </w:tr>
      <w:tr w14:paraId="51F5B0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3D4D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BE7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轿厢称重装置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F970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准确有效</w:t>
            </w:r>
          </w:p>
        </w:tc>
      </w:tr>
      <w:tr w14:paraId="4535FF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0619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ADE5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安全钳钳座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A619A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固定，无松动</w:t>
            </w:r>
          </w:p>
        </w:tc>
      </w:tr>
      <w:tr w14:paraId="5D9BC5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13BA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FFB4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轿底各安装螺栓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B8D2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紧固</w:t>
            </w:r>
          </w:p>
        </w:tc>
      </w:tr>
      <w:tr w14:paraId="2F85DB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39FA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E960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缓冲器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946EE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固定，无松动</w:t>
            </w:r>
          </w:p>
        </w:tc>
      </w:tr>
      <w:tr w14:paraId="356CBE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5F5D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B5AE">
            <w:pPr>
              <w:spacing w:line="360" w:lineRule="auto"/>
              <w:ind w:firstLine="536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</w:rPr>
              <w:t>轿厢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运行噪声</w:t>
            </w: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4296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噪声值符合 GB/T 10058-2009 中3.3.6 的要求，并予以记录</w:t>
            </w:r>
          </w:p>
        </w:tc>
      </w:tr>
      <w:tr w14:paraId="7C6D81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2" w:type="dxa"/>
          <w:trHeight w:val="42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179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0389">
            <w:pPr>
              <w:pStyle w:val="5"/>
              <w:jc w:val="center"/>
              <w:rPr>
                <w:rFonts w:hint="eastAsia" w:hAnsi="宋体"/>
              </w:rPr>
            </w:pPr>
            <w:r>
              <w:rPr>
                <w:rFonts w:hint="eastAsia" w:hAnsi="宋体"/>
              </w:rPr>
              <w:t>井道电缆</w:t>
            </w:r>
          </w:p>
          <w:p w14:paraId="71257014">
            <w:pPr>
              <w:spacing w:line="360" w:lineRule="auto"/>
              <w:ind w:firstLine="536" w:firstLineChars="200"/>
              <w:jc w:val="center"/>
              <w:rPr>
                <w:rFonts w:hint="eastAsia" w:ascii="宋体" w:hAnsi="宋体" w:eastAsia="宋体" w:cs="宋体"/>
                <w:spacing w:val="14"/>
                <w:sz w:val="24"/>
                <w:szCs w:val="24"/>
              </w:rPr>
            </w:pPr>
          </w:p>
        </w:tc>
        <w:tc>
          <w:tcPr>
            <w:tcW w:w="4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534B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无损伤。表面清洁，接线紧固，接触良好，固定架（点）部件齐全，固定牢固</w:t>
            </w:r>
          </w:p>
        </w:tc>
      </w:tr>
    </w:tbl>
    <w:p w14:paraId="22D491B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注：（1）如果某些电梯没有表中的项目（内容），如有的电梯不含有某种部件，项目（内容）可适当进行调整（下同）；</w:t>
      </w:r>
    </w:p>
    <w:p w14:paraId="6F18698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（2）维保项目（内容）和要求中对测试、试验有明确规定的，应当按照规定进行测试、试验，没有明确规定，一般为检查、调整、清洁和润滑（下同）；</w:t>
      </w:r>
    </w:p>
    <w:p w14:paraId="4F8337F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（3）维保基本要求，规定为“符合标准”的，有国家标准应当符合国家标准，没有国家标准的应当符合行业标准、企业标准（下同）；</w:t>
      </w:r>
    </w:p>
    <w:p w14:paraId="78A6FC2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（4）维保基本要求，规定为“制造单位要求”的，按照制造单位的要求，其他没有明确要求的“要求”，应当为安全技术规范、标准或者制造单位等的要求（下同）。</w:t>
      </w:r>
    </w:p>
    <w:p w14:paraId="2DEF9C01">
      <w:pPr>
        <w:pStyle w:val="5"/>
        <w:ind w:firstLine="480"/>
        <w:rPr>
          <w:rFonts w:hint="eastAsia" w:hAnsi="宋体"/>
        </w:rPr>
      </w:pPr>
      <w:r>
        <w:rPr>
          <w:rFonts w:hint="eastAsia" w:hAnsi="宋体"/>
        </w:rPr>
        <w:t>（5）</w:t>
      </w:r>
      <w:r>
        <w:rPr>
          <w:rFonts w:hint="eastAsia" w:hAnsi="宋体"/>
          <w:lang w:val="zh-CN" w:bidi="zh-CN"/>
        </w:rPr>
        <w:t>维保</w:t>
      </w:r>
      <w:r>
        <w:rPr>
          <w:rFonts w:hint="eastAsia" w:hAnsi="宋体"/>
        </w:rPr>
        <w:t>内容与成都市电梯维护保养服务规范有误差的，以成都市电梯维护保养服务规范的三级维保内容为准。</w:t>
      </w:r>
    </w:p>
    <w:p w14:paraId="2A6C590A">
      <w:pPr>
        <w:pStyle w:val="5"/>
        <w:ind w:firstLine="480"/>
        <w:rPr>
          <w:rFonts w:hint="eastAsia" w:hAnsi="宋体" w:eastAsia="宋体"/>
          <w:lang w:eastAsia="zh-CN"/>
        </w:rPr>
      </w:pPr>
      <w:r>
        <w:rPr>
          <w:rFonts w:hint="eastAsia" w:hAnsi="宋体"/>
          <w:lang w:eastAsia="zh-CN"/>
        </w:rPr>
        <w:t>（</w:t>
      </w:r>
      <w:r>
        <w:rPr>
          <w:rFonts w:hint="eastAsia" w:hAnsi="宋体"/>
          <w:lang w:val="en-US" w:eastAsia="zh-CN"/>
        </w:rPr>
        <w:t>6</w:t>
      </w:r>
      <w:r>
        <w:rPr>
          <w:rFonts w:hint="eastAsia" w:hAnsi="宋体"/>
          <w:lang w:eastAsia="zh-CN"/>
        </w:rPr>
        <w:t>）</w:t>
      </w:r>
      <w:r>
        <w:rPr>
          <w:rFonts w:hint="eastAsia" w:ascii="宋体" w:hAnsi="宋体" w:eastAsia="宋体" w:cs="宋体"/>
          <w:color w:val="000000"/>
        </w:rPr>
        <w:t>★</w:t>
      </w:r>
      <w:r>
        <w:rPr>
          <w:rFonts w:hint="eastAsia" w:hAnsi="宋体" w:cs="宋体"/>
          <w:color w:val="000000"/>
          <w:lang w:eastAsia="zh-CN"/>
        </w:rPr>
        <w:t>为重要条款，必须完全响应满足。</w:t>
      </w:r>
    </w:p>
    <w:p w14:paraId="51BB0070">
      <w:pPr>
        <w:pStyle w:val="2"/>
        <w:rPr>
          <w:rFonts w:hint="eastAsia" w:ascii="宋体" w:hAnsi="宋体" w:eastAsia="宋体" w:cs="宋体"/>
        </w:rPr>
      </w:pPr>
    </w:p>
    <w:p w14:paraId="4A527FE0">
      <w:pPr>
        <w:pStyle w:val="2"/>
        <w:spacing w:before="106" w:line="360" w:lineRule="auto"/>
        <w:ind w:right="-64" w:rightChars="-29" w:firstLine="482" w:firstLineChars="200"/>
        <w:rPr>
          <w:rFonts w:ascii="宋体" w:hAnsi="宋体" w:eastAsia="宋体" w:cs="宋体"/>
          <w:b/>
          <w:bCs/>
          <w:lang w:val="en-US"/>
        </w:rPr>
      </w:pPr>
      <w:r>
        <w:rPr>
          <w:rFonts w:hint="eastAsia" w:ascii="宋体" w:hAnsi="宋体" w:eastAsia="宋体" w:cs="宋体"/>
          <w:b/>
          <w:bCs/>
          <w:lang w:val="en-US"/>
        </w:rPr>
        <w:t>四、商务及其他要求</w:t>
      </w:r>
    </w:p>
    <w:p w14:paraId="548C318B">
      <w:pPr>
        <w:ind w:firstLine="660" w:firstLineChars="300"/>
        <w:rPr>
          <w:rFonts w:hint="eastAsia"/>
          <w:lang w:val="en-US"/>
        </w:rPr>
      </w:pPr>
      <w:r>
        <w:rPr>
          <w:rFonts w:hint="eastAsia"/>
          <w:lang w:val="en-US"/>
        </w:rPr>
        <w:t>1、</w:t>
      </w:r>
      <w:r>
        <w:rPr>
          <w:rFonts w:hint="eastAsia" w:ascii="宋体" w:hAnsi="宋体" w:eastAsia="宋体"/>
          <w:sz w:val="24"/>
          <w:szCs w:val="24"/>
          <w:lang w:val="en-US"/>
        </w:rPr>
        <w:t>维保方负责为每台购买意外保险。</w:t>
      </w:r>
    </w:p>
    <w:p w14:paraId="324632DE">
      <w:pPr>
        <w:pStyle w:val="2"/>
        <w:spacing w:line="499" w:lineRule="exact"/>
        <w:ind w:left="668"/>
        <w:rPr>
          <w:rFonts w:hint="eastAsia" w:ascii="宋体" w:hAnsi="宋体" w:eastAsia="宋体" w:cs="宋体"/>
          <w:lang w:val="en-US"/>
        </w:rPr>
      </w:pPr>
      <w:r>
        <w:rPr>
          <w:rFonts w:ascii="宋体" w:hAnsi="宋体" w:eastAsia="宋体" w:cs="宋体"/>
          <w:lang w:val="en-US"/>
        </w:rPr>
        <w:t>2</w:t>
      </w:r>
      <w:r>
        <w:rPr>
          <w:rFonts w:hint="eastAsia" w:ascii="宋体" w:hAnsi="宋体" w:eastAsia="宋体" w:cs="宋体"/>
        </w:rPr>
        <w:t>、付款方式：每季度一次，医院在收到供应商开具的发票后</w:t>
      </w:r>
      <w:r>
        <w:rPr>
          <w:rFonts w:ascii="宋体" w:hAnsi="宋体" w:eastAsia="宋体" w:cs="宋体"/>
          <w:lang w:val="en-US"/>
        </w:rPr>
        <w:t>7</w:t>
      </w:r>
      <w:r>
        <w:rPr>
          <w:rFonts w:hint="eastAsia" w:ascii="宋体" w:hAnsi="宋体" w:eastAsia="宋体" w:cs="宋体"/>
          <w:lang w:val="en-US"/>
        </w:rPr>
        <w:t>日内支付。</w:t>
      </w:r>
    </w:p>
    <w:p w14:paraId="709CBB3D">
      <w:pPr>
        <w:pStyle w:val="2"/>
        <w:spacing w:line="360" w:lineRule="auto"/>
        <w:ind w:left="668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  <w:lang w:val="en-US"/>
        </w:rPr>
        <w:t>3</w:t>
      </w:r>
      <w:r>
        <w:rPr>
          <w:rFonts w:hint="eastAsia" w:ascii="宋体" w:hAnsi="宋体" w:eastAsia="宋体" w:cs="宋体"/>
          <w:lang w:val="en-US"/>
        </w:rPr>
        <w:t>、</w:t>
      </w:r>
      <w:r>
        <w:rPr>
          <w:rFonts w:hint="eastAsia" w:ascii="宋体" w:hAnsi="宋体" w:eastAsia="宋体" w:cs="宋体"/>
        </w:rPr>
        <w:t>本次招标服务期限为三年，合同一年一签。</w:t>
      </w:r>
    </w:p>
    <w:p w14:paraId="4F3494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9E18F"/>
    <w:multiLevelType w:val="singleLevel"/>
    <w:tmpl w:val="53B9E18F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C3C70"/>
    <w:rsid w:val="376C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ascii="仿宋" w:hAnsi="仿宋" w:eastAsia="仿宋" w:cs="仿宋"/>
      <w:sz w:val="24"/>
      <w:szCs w:val="24"/>
      <w:lang w:val="zh-CN" w:eastAsia="zh-CN" w:bidi="zh-CN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2026-10-27T06:50:00Z</dcterms:created>
  <dc:creator>Tmc</dc:creator>
  <cp:lastModifiedBy>Tmc</cp:lastModifiedBy>
  <dcterms:modified xsi:type="dcterms:W3CDTF">2026-10-27T07:02:30Z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0111F378811D49B0B77359B195119121_11</vt:lpwstr>
  </property>
  <property fmtid="{D5CDD505-2E9C-101B-9397-08002B2CF9AE}" pid="4" name="KSOTemplateDocerSaveRecord">
    <vt:lpwstr>eyJoZGlkIjoiMTJjZTQ4Y2NhY2I3Y2ExNGI0MzExNDE1OTI1N2JlYTEiLCJ1c2VySWQiOiI0MzYyNzY2MTgifQ==</vt:lpwstr>
  </property>
</Properties>
</file>